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5CA33" w14:textId="77777777" w:rsidR="00543611" w:rsidRPr="005916E5" w:rsidRDefault="00543611" w:rsidP="00B038A8">
      <w:pPr>
        <w:spacing w:line="276" w:lineRule="auto"/>
        <w:jc w:val="both"/>
        <w:rPr>
          <w:rFonts w:ascii="Arial" w:hAnsi="Arial" w:cs="Arial"/>
        </w:rPr>
      </w:pPr>
    </w:p>
    <w:p w14:paraId="14FAE11C" w14:textId="77777777" w:rsidR="00C43927" w:rsidRDefault="00F07703" w:rsidP="00F07703">
      <w:pPr>
        <w:jc w:val="center"/>
        <w:rPr>
          <w:rFonts w:ascii="Arial" w:hAnsi="Arial" w:cs="Arial"/>
          <w:b/>
          <w:bCs/>
          <w:color w:val="171A2F"/>
          <w:spacing w:val="8"/>
          <w:sz w:val="28"/>
          <w:szCs w:val="28"/>
          <w:shd w:val="clear" w:color="auto" w:fill="FFFFFF"/>
        </w:rPr>
      </w:pPr>
      <w:r w:rsidRPr="00F07703">
        <w:rPr>
          <w:rFonts w:ascii="Arial" w:hAnsi="Arial" w:cs="Arial"/>
          <w:b/>
          <w:bCs/>
          <w:color w:val="171A2F"/>
          <w:spacing w:val="8"/>
          <w:sz w:val="28"/>
          <w:szCs w:val="28"/>
          <w:shd w:val="clear" w:color="auto" w:fill="FFFFFF"/>
        </w:rPr>
        <w:t>Průzkum Home Credit</w:t>
      </w:r>
      <w:r w:rsidR="00C43927">
        <w:rPr>
          <w:rFonts w:ascii="Arial" w:hAnsi="Arial" w:cs="Arial"/>
          <w:b/>
          <w:bCs/>
          <w:color w:val="171A2F"/>
          <w:spacing w:val="8"/>
          <w:sz w:val="28"/>
          <w:szCs w:val="28"/>
          <w:shd w:val="clear" w:color="auto" w:fill="FFFFFF"/>
        </w:rPr>
        <w:t>u</w:t>
      </w:r>
      <w:r w:rsidRPr="00F07703">
        <w:rPr>
          <w:rFonts w:ascii="Arial" w:hAnsi="Arial" w:cs="Arial"/>
          <w:b/>
          <w:bCs/>
          <w:color w:val="171A2F"/>
          <w:spacing w:val="8"/>
          <w:sz w:val="28"/>
          <w:szCs w:val="28"/>
          <w:shd w:val="clear" w:color="auto" w:fill="FFFFFF"/>
        </w:rPr>
        <w:t xml:space="preserve">: Češi jsou v půjčkách opatrní, </w:t>
      </w:r>
    </w:p>
    <w:p w14:paraId="77599630" w14:textId="53E46A24" w:rsidR="006B7D31" w:rsidRPr="00F07703" w:rsidRDefault="00EE0A0A" w:rsidP="00F07703">
      <w:pPr>
        <w:jc w:val="center"/>
        <w:rPr>
          <w:rFonts w:ascii="Arial" w:hAnsi="Arial" w:cs="Arial"/>
          <w:b/>
          <w:bCs/>
          <w:color w:val="171A2F"/>
          <w:spacing w:val="8"/>
          <w:sz w:val="28"/>
          <w:szCs w:val="28"/>
          <w:shd w:val="clear" w:color="auto" w:fill="FFFFFF"/>
        </w:rPr>
      </w:pPr>
      <w:r>
        <w:rPr>
          <w:rFonts w:ascii="Arial" w:hAnsi="Arial" w:cs="Arial"/>
          <w:b/>
          <w:bCs/>
          <w:color w:val="171A2F"/>
          <w:spacing w:val="8"/>
          <w:sz w:val="28"/>
          <w:szCs w:val="28"/>
          <w:shd w:val="clear" w:color="auto" w:fill="FFFFFF"/>
        </w:rPr>
        <w:t>poskytovatele vybírají pečlivě</w:t>
      </w:r>
      <w:r w:rsidR="000E0144">
        <w:rPr>
          <w:rFonts w:ascii="Arial" w:hAnsi="Arial" w:cs="Arial"/>
          <w:b/>
          <w:bCs/>
          <w:color w:val="171A2F"/>
          <w:spacing w:val="8"/>
          <w:sz w:val="28"/>
          <w:szCs w:val="28"/>
          <w:shd w:val="clear" w:color="auto" w:fill="FFFFFF"/>
        </w:rPr>
        <w:t>ji než dříve</w:t>
      </w:r>
      <w:r>
        <w:rPr>
          <w:rFonts w:ascii="Arial" w:hAnsi="Arial" w:cs="Arial"/>
          <w:b/>
          <w:bCs/>
          <w:color w:val="171A2F"/>
          <w:spacing w:val="8"/>
          <w:sz w:val="28"/>
          <w:szCs w:val="28"/>
          <w:shd w:val="clear" w:color="auto" w:fill="FFFFFF"/>
        </w:rPr>
        <w:t xml:space="preserve"> </w:t>
      </w:r>
    </w:p>
    <w:p w14:paraId="76DFBB77" w14:textId="2F7FBAB5" w:rsidR="00ED196C" w:rsidRPr="001B7AA7" w:rsidRDefault="00ED196C" w:rsidP="00ED196C">
      <w:pPr>
        <w:rPr>
          <w:rFonts w:ascii="Arial" w:hAnsi="Arial" w:cs="Arial"/>
          <w:sz w:val="21"/>
          <w:szCs w:val="21"/>
        </w:rPr>
      </w:pPr>
      <w:r w:rsidRPr="001B7AA7">
        <w:rPr>
          <w:rFonts w:ascii="Arial" w:hAnsi="Arial" w:cs="Arial"/>
          <w:b/>
          <w:bCs/>
          <w:sz w:val="21"/>
          <w:szCs w:val="21"/>
        </w:rPr>
        <w:t xml:space="preserve">Brno, </w:t>
      </w:r>
      <w:r w:rsidR="00961E03">
        <w:rPr>
          <w:rFonts w:ascii="Arial" w:hAnsi="Arial" w:cs="Arial"/>
          <w:b/>
          <w:bCs/>
          <w:sz w:val="21"/>
          <w:szCs w:val="21"/>
        </w:rPr>
        <w:t>3</w:t>
      </w:r>
      <w:r w:rsidR="00F07703">
        <w:rPr>
          <w:rFonts w:ascii="Arial" w:hAnsi="Arial" w:cs="Arial"/>
          <w:b/>
          <w:bCs/>
          <w:sz w:val="21"/>
          <w:szCs w:val="21"/>
        </w:rPr>
        <w:t xml:space="preserve">. </w:t>
      </w:r>
      <w:r w:rsidR="00961E03">
        <w:rPr>
          <w:rFonts w:ascii="Arial" w:hAnsi="Arial" w:cs="Arial"/>
          <w:b/>
          <w:bCs/>
          <w:sz w:val="21"/>
          <w:szCs w:val="21"/>
        </w:rPr>
        <w:t>8</w:t>
      </w:r>
      <w:r w:rsidR="00373133">
        <w:rPr>
          <w:rFonts w:ascii="Arial" w:hAnsi="Arial" w:cs="Arial"/>
          <w:b/>
          <w:bCs/>
          <w:sz w:val="21"/>
          <w:szCs w:val="21"/>
        </w:rPr>
        <w:t>.</w:t>
      </w:r>
      <w:r w:rsidR="00F07703">
        <w:rPr>
          <w:rFonts w:ascii="Arial" w:hAnsi="Arial" w:cs="Arial"/>
          <w:b/>
          <w:bCs/>
          <w:sz w:val="21"/>
          <w:szCs w:val="21"/>
        </w:rPr>
        <w:t xml:space="preserve"> </w:t>
      </w:r>
      <w:r w:rsidRPr="001B7AA7">
        <w:rPr>
          <w:rFonts w:ascii="Arial" w:hAnsi="Arial" w:cs="Arial"/>
          <w:b/>
          <w:bCs/>
          <w:sz w:val="21"/>
          <w:szCs w:val="21"/>
        </w:rPr>
        <w:t>2026</w:t>
      </w:r>
    </w:p>
    <w:p w14:paraId="5104F168" w14:textId="0609AFCE" w:rsidR="009515EB" w:rsidRPr="0002283D" w:rsidRDefault="009515EB" w:rsidP="002D4D76">
      <w:pPr>
        <w:spacing w:after="0" w:line="276" w:lineRule="auto"/>
        <w:rPr>
          <w:rFonts w:ascii="Arial" w:hAnsi="Arial" w:cs="Arial"/>
          <w:b/>
          <w:bCs/>
          <w:sz w:val="21"/>
          <w:szCs w:val="21"/>
        </w:rPr>
      </w:pPr>
      <w:r w:rsidRPr="0002283D">
        <w:rPr>
          <w:rFonts w:ascii="Arial" w:hAnsi="Arial" w:cs="Arial"/>
          <w:b/>
          <w:bCs/>
          <w:sz w:val="21"/>
          <w:szCs w:val="21"/>
        </w:rPr>
        <w:t>Češi zůstávají v otáz</w:t>
      </w:r>
      <w:r w:rsidR="00C3052A">
        <w:rPr>
          <w:rFonts w:ascii="Arial" w:hAnsi="Arial" w:cs="Arial"/>
          <w:b/>
          <w:bCs/>
          <w:sz w:val="21"/>
          <w:szCs w:val="21"/>
        </w:rPr>
        <w:t>ce</w:t>
      </w:r>
      <w:r w:rsidRPr="0002283D">
        <w:rPr>
          <w:rFonts w:ascii="Arial" w:hAnsi="Arial" w:cs="Arial"/>
          <w:b/>
          <w:bCs/>
          <w:sz w:val="21"/>
          <w:szCs w:val="21"/>
        </w:rPr>
        <w:t xml:space="preserve"> zadlužování dlouhodobě </w:t>
      </w:r>
      <w:r w:rsidR="00C3052A">
        <w:rPr>
          <w:rFonts w:ascii="Arial" w:hAnsi="Arial" w:cs="Arial"/>
          <w:b/>
          <w:bCs/>
          <w:sz w:val="21"/>
          <w:szCs w:val="21"/>
        </w:rPr>
        <w:t xml:space="preserve">spíše </w:t>
      </w:r>
      <w:r w:rsidRPr="0002283D">
        <w:rPr>
          <w:rFonts w:ascii="Arial" w:hAnsi="Arial" w:cs="Arial"/>
          <w:b/>
          <w:bCs/>
          <w:sz w:val="21"/>
          <w:szCs w:val="21"/>
        </w:rPr>
        <w:t xml:space="preserve">opatrní a konzervativní. Nejnovější průzkum </w:t>
      </w:r>
      <w:r w:rsidR="00B27F15">
        <w:rPr>
          <w:rFonts w:ascii="Arial" w:hAnsi="Arial" w:cs="Arial"/>
          <w:b/>
          <w:bCs/>
          <w:sz w:val="21"/>
          <w:szCs w:val="21"/>
        </w:rPr>
        <w:t xml:space="preserve">agentury Ipsos pro </w:t>
      </w:r>
      <w:r w:rsidRPr="0002283D">
        <w:rPr>
          <w:rFonts w:ascii="Arial" w:hAnsi="Arial" w:cs="Arial"/>
          <w:b/>
          <w:bCs/>
          <w:sz w:val="21"/>
          <w:szCs w:val="21"/>
        </w:rPr>
        <w:t xml:space="preserve">společnost Home Credit ukazuje, </w:t>
      </w:r>
      <w:r w:rsidR="00812165">
        <w:rPr>
          <w:rFonts w:ascii="Arial" w:hAnsi="Arial" w:cs="Arial"/>
          <w:b/>
          <w:bCs/>
          <w:sz w:val="21"/>
          <w:szCs w:val="21"/>
        </w:rPr>
        <w:t xml:space="preserve">že </w:t>
      </w:r>
      <w:r w:rsidR="00DC325F">
        <w:rPr>
          <w:rFonts w:ascii="Arial" w:hAnsi="Arial" w:cs="Arial"/>
          <w:b/>
          <w:bCs/>
          <w:sz w:val="21"/>
          <w:szCs w:val="21"/>
        </w:rPr>
        <w:t>úvěr nebo půjčku si</w:t>
      </w:r>
      <w:r w:rsidRPr="0002283D">
        <w:rPr>
          <w:rFonts w:ascii="Arial" w:hAnsi="Arial" w:cs="Arial"/>
          <w:b/>
          <w:bCs/>
          <w:sz w:val="21"/>
          <w:szCs w:val="21"/>
        </w:rPr>
        <w:t xml:space="preserve"> </w:t>
      </w:r>
      <w:r w:rsidR="00165CE6">
        <w:rPr>
          <w:rFonts w:ascii="Arial" w:hAnsi="Arial" w:cs="Arial"/>
          <w:b/>
          <w:bCs/>
          <w:sz w:val="21"/>
          <w:szCs w:val="21"/>
        </w:rPr>
        <w:t>v </w:t>
      </w:r>
      <w:r w:rsidR="00850B01">
        <w:rPr>
          <w:rFonts w:ascii="Arial" w:hAnsi="Arial" w:cs="Arial"/>
          <w:b/>
          <w:bCs/>
          <w:sz w:val="21"/>
          <w:szCs w:val="21"/>
        </w:rPr>
        <w:t xml:space="preserve">letošním </w:t>
      </w:r>
      <w:r w:rsidR="00165CE6">
        <w:rPr>
          <w:rFonts w:ascii="Arial" w:hAnsi="Arial" w:cs="Arial"/>
          <w:b/>
          <w:bCs/>
          <w:sz w:val="21"/>
          <w:szCs w:val="21"/>
        </w:rPr>
        <w:t>roce</w:t>
      </w:r>
      <w:r w:rsidRPr="0002283D">
        <w:rPr>
          <w:rFonts w:ascii="Arial" w:hAnsi="Arial" w:cs="Arial"/>
          <w:b/>
          <w:bCs/>
          <w:sz w:val="21"/>
          <w:szCs w:val="21"/>
        </w:rPr>
        <w:t xml:space="preserve"> </w:t>
      </w:r>
      <w:r w:rsidR="00DC325F">
        <w:rPr>
          <w:rFonts w:ascii="Arial" w:hAnsi="Arial" w:cs="Arial"/>
          <w:b/>
          <w:bCs/>
          <w:sz w:val="21"/>
          <w:szCs w:val="21"/>
        </w:rPr>
        <w:t xml:space="preserve">vzalo </w:t>
      </w:r>
      <w:r w:rsidRPr="0002283D">
        <w:rPr>
          <w:rFonts w:ascii="Arial" w:hAnsi="Arial" w:cs="Arial"/>
          <w:b/>
          <w:bCs/>
          <w:sz w:val="21"/>
          <w:szCs w:val="21"/>
        </w:rPr>
        <w:t>11 % Čechů</w:t>
      </w:r>
      <w:r w:rsidR="00C3052A">
        <w:rPr>
          <w:rFonts w:ascii="Arial" w:hAnsi="Arial" w:cs="Arial"/>
          <w:b/>
          <w:bCs/>
          <w:sz w:val="21"/>
          <w:szCs w:val="21"/>
        </w:rPr>
        <w:t>.</w:t>
      </w:r>
      <w:r w:rsidRPr="0002283D">
        <w:rPr>
          <w:rFonts w:ascii="Arial" w:hAnsi="Arial" w:cs="Arial"/>
          <w:b/>
          <w:bCs/>
          <w:sz w:val="21"/>
          <w:szCs w:val="21"/>
        </w:rPr>
        <w:t xml:space="preserve"> </w:t>
      </w:r>
      <w:r w:rsidR="00C3052A">
        <w:rPr>
          <w:rFonts w:ascii="Arial" w:hAnsi="Arial" w:cs="Arial"/>
          <w:b/>
          <w:bCs/>
          <w:sz w:val="21"/>
          <w:szCs w:val="21"/>
        </w:rPr>
        <w:t>S</w:t>
      </w:r>
      <w:r w:rsidRPr="0002283D">
        <w:rPr>
          <w:rFonts w:ascii="Arial" w:hAnsi="Arial" w:cs="Arial"/>
          <w:b/>
          <w:bCs/>
          <w:sz w:val="21"/>
          <w:szCs w:val="21"/>
        </w:rPr>
        <w:t xml:space="preserve">tejný podíl respondentů </w:t>
      </w:r>
      <w:r w:rsidR="00510DA7">
        <w:rPr>
          <w:rFonts w:ascii="Arial" w:hAnsi="Arial" w:cs="Arial"/>
          <w:b/>
          <w:bCs/>
          <w:sz w:val="21"/>
          <w:szCs w:val="21"/>
        </w:rPr>
        <w:t>uvedl, že si</w:t>
      </w:r>
      <w:r w:rsidRPr="0002283D">
        <w:rPr>
          <w:rFonts w:ascii="Arial" w:hAnsi="Arial" w:cs="Arial"/>
          <w:b/>
          <w:bCs/>
          <w:sz w:val="21"/>
          <w:szCs w:val="21"/>
        </w:rPr>
        <w:t xml:space="preserve"> </w:t>
      </w:r>
      <w:r w:rsidR="00DC325F">
        <w:rPr>
          <w:rFonts w:ascii="Arial" w:hAnsi="Arial" w:cs="Arial"/>
          <w:b/>
          <w:bCs/>
          <w:sz w:val="21"/>
          <w:szCs w:val="21"/>
        </w:rPr>
        <w:t>peníze půjčili</w:t>
      </w:r>
      <w:r w:rsidRPr="0002283D">
        <w:rPr>
          <w:rFonts w:ascii="Arial" w:hAnsi="Arial" w:cs="Arial"/>
          <w:b/>
          <w:bCs/>
          <w:sz w:val="21"/>
          <w:szCs w:val="21"/>
        </w:rPr>
        <w:t xml:space="preserve"> v</w:t>
      </w:r>
      <w:r w:rsidR="00510DA7">
        <w:rPr>
          <w:rFonts w:ascii="Arial" w:hAnsi="Arial" w:cs="Arial"/>
          <w:b/>
          <w:bCs/>
          <w:sz w:val="21"/>
          <w:szCs w:val="21"/>
        </w:rPr>
        <w:t> průběhu uplynulých</w:t>
      </w:r>
      <w:r w:rsidRPr="0002283D">
        <w:rPr>
          <w:rFonts w:ascii="Arial" w:hAnsi="Arial" w:cs="Arial"/>
          <w:b/>
          <w:bCs/>
          <w:sz w:val="21"/>
          <w:szCs w:val="21"/>
        </w:rPr>
        <w:t xml:space="preserve"> tří let. Naopak</w:t>
      </w:r>
      <w:r w:rsidR="00510DA7">
        <w:rPr>
          <w:rFonts w:ascii="Arial" w:hAnsi="Arial" w:cs="Arial"/>
          <w:b/>
          <w:bCs/>
          <w:sz w:val="21"/>
          <w:szCs w:val="21"/>
        </w:rPr>
        <w:t xml:space="preserve"> dvě pětiny dotázaných</w:t>
      </w:r>
      <w:r w:rsidRPr="0002283D">
        <w:rPr>
          <w:rFonts w:ascii="Arial" w:hAnsi="Arial" w:cs="Arial"/>
          <w:b/>
          <w:bCs/>
          <w:sz w:val="21"/>
          <w:szCs w:val="21"/>
        </w:rPr>
        <w:t xml:space="preserve"> </w:t>
      </w:r>
      <w:r w:rsidR="00510DA7">
        <w:rPr>
          <w:rFonts w:ascii="Arial" w:hAnsi="Arial" w:cs="Arial"/>
          <w:b/>
          <w:bCs/>
          <w:sz w:val="21"/>
          <w:szCs w:val="21"/>
        </w:rPr>
        <w:t>(</w:t>
      </w:r>
      <w:r w:rsidRPr="0002283D">
        <w:rPr>
          <w:rFonts w:ascii="Arial" w:hAnsi="Arial" w:cs="Arial"/>
          <w:b/>
          <w:bCs/>
          <w:sz w:val="21"/>
          <w:szCs w:val="21"/>
        </w:rPr>
        <w:t>40 %</w:t>
      </w:r>
      <w:r w:rsidR="00510DA7">
        <w:rPr>
          <w:rFonts w:ascii="Arial" w:hAnsi="Arial" w:cs="Arial"/>
          <w:b/>
          <w:bCs/>
          <w:sz w:val="21"/>
          <w:szCs w:val="21"/>
        </w:rPr>
        <w:t xml:space="preserve">) </w:t>
      </w:r>
      <w:r w:rsidR="00DC325F">
        <w:rPr>
          <w:rFonts w:ascii="Arial" w:hAnsi="Arial" w:cs="Arial"/>
          <w:b/>
          <w:bCs/>
          <w:sz w:val="21"/>
          <w:szCs w:val="21"/>
        </w:rPr>
        <w:t>zmiňují</w:t>
      </w:r>
      <w:r w:rsidRPr="0002283D">
        <w:rPr>
          <w:rFonts w:ascii="Arial" w:hAnsi="Arial" w:cs="Arial"/>
          <w:b/>
          <w:bCs/>
          <w:sz w:val="21"/>
          <w:szCs w:val="21"/>
        </w:rPr>
        <w:t>, že</w:t>
      </w:r>
      <w:r w:rsidR="005303FB">
        <w:rPr>
          <w:rFonts w:ascii="Arial" w:hAnsi="Arial" w:cs="Arial"/>
          <w:b/>
          <w:bCs/>
          <w:sz w:val="21"/>
          <w:szCs w:val="21"/>
        </w:rPr>
        <w:t xml:space="preserve"> žádnou</w:t>
      </w:r>
      <w:r w:rsidRPr="0002283D">
        <w:rPr>
          <w:rFonts w:ascii="Arial" w:hAnsi="Arial" w:cs="Arial"/>
          <w:b/>
          <w:bCs/>
          <w:sz w:val="21"/>
          <w:szCs w:val="21"/>
        </w:rPr>
        <w:t xml:space="preserve"> půjčku </w:t>
      </w:r>
      <w:r w:rsidR="005303FB">
        <w:rPr>
          <w:rFonts w:ascii="Arial" w:hAnsi="Arial" w:cs="Arial"/>
          <w:b/>
          <w:bCs/>
          <w:sz w:val="21"/>
          <w:szCs w:val="21"/>
        </w:rPr>
        <w:t>dosud</w:t>
      </w:r>
      <w:r w:rsidRPr="0002283D">
        <w:rPr>
          <w:rFonts w:ascii="Arial" w:hAnsi="Arial" w:cs="Arial"/>
          <w:b/>
          <w:bCs/>
          <w:sz w:val="21"/>
          <w:szCs w:val="21"/>
        </w:rPr>
        <w:t xml:space="preserve"> nikdy nevyužil</w:t>
      </w:r>
      <w:r w:rsidR="005303FB">
        <w:rPr>
          <w:rFonts w:ascii="Arial" w:hAnsi="Arial" w:cs="Arial"/>
          <w:b/>
          <w:bCs/>
          <w:sz w:val="21"/>
          <w:szCs w:val="21"/>
        </w:rPr>
        <w:t>y</w:t>
      </w:r>
      <w:r w:rsidRPr="0002283D">
        <w:rPr>
          <w:rFonts w:ascii="Arial" w:hAnsi="Arial" w:cs="Arial"/>
          <w:b/>
          <w:bCs/>
          <w:sz w:val="21"/>
          <w:szCs w:val="21"/>
        </w:rPr>
        <w:t xml:space="preserve">. </w:t>
      </w:r>
    </w:p>
    <w:p w14:paraId="00CB4708" w14:textId="77777777" w:rsidR="0021669F" w:rsidRPr="002D4D76" w:rsidRDefault="0021669F" w:rsidP="002D4D76">
      <w:pPr>
        <w:spacing w:after="0" w:line="276" w:lineRule="auto"/>
        <w:rPr>
          <w:rFonts w:ascii="Arial" w:hAnsi="Arial" w:cs="Arial"/>
          <w:sz w:val="21"/>
          <w:szCs w:val="21"/>
        </w:rPr>
      </w:pPr>
    </w:p>
    <w:p w14:paraId="2AEC2D14" w14:textId="02BE9B19" w:rsidR="001063A4" w:rsidRPr="003213C4" w:rsidRDefault="003213C4" w:rsidP="001063A4">
      <w:pPr>
        <w:spacing w:after="0" w:line="276" w:lineRule="auto"/>
        <w:rPr>
          <w:rFonts w:ascii="Arial" w:hAnsi="Arial" w:cs="Arial"/>
          <w:sz w:val="21"/>
          <w:szCs w:val="21"/>
        </w:rPr>
      </w:pPr>
      <w:r>
        <w:rPr>
          <w:rFonts w:ascii="Arial" w:hAnsi="Arial" w:cs="Arial"/>
          <w:sz w:val="21"/>
          <w:szCs w:val="21"/>
        </w:rPr>
        <w:t>V</w:t>
      </w:r>
      <w:r w:rsidR="009515EB" w:rsidRPr="002D4D76">
        <w:rPr>
          <w:rFonts w:ascii="Arial" w:hAnsi="Arial" w:cs="Arial"/>
          <w:sz w:val="21"/>
          <w:szCs w:val="21"/>
        </w:rPr>
        <w:t xml:space="preserve">yužívání půjček se liší podle věku, </w:t>
      </w:r>
      <w:r w:rsidR="001A7C35">
        <w:rPr>
          <w:rFonts w:ascii="Arial" w:hAnsi="Arial" w:cs="Arial"/>
          <w:sz w:val="21"/>
          <w:szCs w:val="21"/>
        </w:rPr>
        <w:t xml:space="preserve">místa </w:t>
      </w:r>
      <w:r w:rsidR="009515EB" w:rsidRPr="002D4D76">
        <w:rPr>
          <w:rFonts w:ascii="Arial" w:hAnsi="Arial" w:cs="Arial"/>
          <w:sz w:val="21"/>
          <w:szCs w:val="21"/>
        </w:rPr>
        <w:t xml:space="preserve">bydliště i životní situace. </w:t>
      </w:r>
      <w:r w:rsidR="001A7C35" w:rsidRPr="003213C4">
        <w:rPr>
          <w:rFonts w:ascii="Arial" w:hAnsi="Arial" w:cs="Arial"/>
          <w:sz w:val="21"/>
          <w:szCs w:val="21"/>
        </w:rPr>
        <w:t xml:space="preserve">Nejčastěji se bez půjčky dosud </w:t>
      </w:r>
      <w:r w:rsidR="001A7C35">
        <w:rPr>
          <w:rFonts w:ascii="Arial" w:hAnsi="Arial" w:cs="Arial"/>
          <w:sz w:val="21"/>
          <w:szCs w:val="21"/>
        </w:rPr>
        <w:t xml:space="preserve">obešli </w:t>
      </w:r>
      <w:r w:rsidR="009515EB" w:rsidRPr="002D4D76">
        <w:rPr>
          <w:rFonts w:ascii="Arial" w:hAnsi="Arial" w:cs="Arial"/>
          <w:sz w:val="21"/>
          <w:szCs w:val="21"/>
        </w:rPr>
        <w:t xml:space="preserve">mladí lidé ve věku 18 až 26 let, </w:t>
      </w:r>
      <w:r w:rsidR="009E4365" w:rsidRPr="003213C4">
        <w:rPr>
          <w:rFonts w:ascii="Arial" w:hAnsi="Arial" w:cs="Arial"/>
          <w:sz w:val="21"/>
          <w:szCs w:val="21"/>
        </w:rPr>
        <w:t xml:space="preserve">z nichž si ji nikdy nevzalo 71 %, dále </w:t>
      </w:r>
      <w:r w:rsidR="009515EB" w:rsidRPr="002D4D76">
        <w:rPr>
          <w:rFonts w:ascii="Arial" w:hAnsi="Arial" w:cs="Arial"/>
          <w:sz w:val="21"/>
          <w:szCs w:val="21"/>
        </w:rPr>
        <w:t>obyvatelé Prahy (4</w:t>
      </w:r>
      <w:r w:rsidR="002052E4">
        <w:rPr>
          <w:rFonts w:ascii="Arial" w:hAnsi="Arial" w:cs="Arial"/>
          <w:sz w:val="21"/>
          <w:szCs w:val="21"/>
        </w:rPr>
        <w:t>7</w:t>
      </w:r>
      <w:r w:rsidR="009515EB" w:rsidRPr="002D4D76">
        <w:rPr>
          <w:rFonts w:ascii="Arial" w:hAnsi="Arial" w:cs="Arial"/>
          <w:sz w:val="21"/>
          <w:szCs w:val="21"/>
        </w:rPr>
        <w:t xml:space="preserve"> %) a velkých měst (4</w:t>
      </w:r>
      <w:r w:rsidR="002052E4">
        <w:rPr>
          <w:rFonts w:ascii="Arial" w:hAnsi="Arial" w:cs="Arial"/>
          <w:sz w:val="21"/>
          <w:szCs w:val="21"/>
        </w:rPr>
        <w:t>6</w:t>
      </w:r>
      <w:r w:rsidR="009515EB" w:rsidRPr="002D4D76">
        <w:rPr>
          <w:rFonts w:ascii="Arial" w:hAnsi="Arial" w:cs="Arial"/>
          <w:sz w:val="21"/>
          <w:szCs w:val="21"/>
        </w:rPr>
        <w:t xml:space="preserve"> %). </w:t>
      </w:r>
      <w:r w:rsidR="00546084" w:rsidRPr="003213C4">
        <w:rPr>
          <w:rFonts w:ascii="Arial" w:hAnsi="Arial" w:cs="Arial"/>
          <w:sz w:val="21"/>
          <w:szCs w:val="21"/>
        </w:rPr>
        <w:t xml:space="preserve">Naopak zkušenost s úvěrem častěji mají </w:t>
      </w:r>
      <w:r w:rsidR="009515EB" w:rsidRPr="002D4D76">
        <w:rPr>
          <w:rFonts w:ascii="Arial" w:hAnsi="Arial" w:cs="Arial"/>
          <w:sz w:val="21"/>
          <w:szCs w:val="21"/>
        </w:rPr>
        <w:t>lidé ve věku 54 až 65 let</w:t>
      </w:r>
      <w:r w:rsidR="00C43927">
        <w:rPr>
          <w:rFonts w:ascii="Arial" w:hAnsi="Arial" w:cs="Arial"/>
          <w:sz w:val="21"/>
          <w:szCs w:val="21"/>
        </w:rPr>
        <w:t xml:space="preserve">, </w:t>
      </w:r>
      <w:r w:rsidR="009515EB" w:rsidRPr="002D4D76">
        <w:rPr>
          <w:rFonts w:ascii="Arial" w:hAnsi="Arial" w:cs="Arial"/>
          <w:sz w:val="21"/>
          <w:szCs w:val="21"/>
        </w:rPr>
        <w:t xml:space="preserve">rozvedení (71 %), obyvatelé obcí do tisíce obyvatel (67 %) a lidé s učňovským vzděláním (66 %). </w:t>
      </w:r>
      <w:r w:rsidR="001063A4" w:rsidRPr="00373133">
        <w:rPr>
          <w:rFonts w:ascii="Arial" w:hAnsi="Arial" w:cs="Arial"/>
          <w:sz w:val="21"/>
          <w:szCs w:val="21"/>
        </w:rPr>
        <w:t>Zajímavostí přitom je, že právě mladí ve věku 18 až 26 let, kteří půjčky využívají nejméně, je zároveň nejčastěji považují za běžnou součást finančního života</w:t>
      </w:r>
      <w:r w:rsidR="001063A4" w:rsidRPr="0033303C">
        <w:rPr>
          <w:rFonts w:ascii="Arial" w:hAnsi="Arial" w:cs="Arial"/>
          <w:sz w:val="21"/>
          <w:szCs w:val="21"/>
        </w:rPr>
        <w:t>.</w:t>
      </w:r>
    </w:p>
    <w:p w14:paraId="120FD31E" w14:textId="77777777" w:rsidR="009515EB" w:rsidRPr="002D4D76" w:rsidRDefault="009515EB" w:rsidP="002D4D76">
      <w:pPr>
        <w:spacing w:after="0" w:line="276" w:lineRule="auto"/>
        <w:rPr>
          <w:rFonts w:ascii="Arial" w:hAnsi="Arial" w:cs="Arial"/>
          <w:sz w:val="21"/>
          <w:szCs w:val="21"/>
        </w:rPr>
      </w:pPr>
    </w:p>
    <w:p w14:paraId="43CCEFE1" w14:textId="21C1B300" w:rsidR="00572084" w:rsidRPr="002D4D76" w:rsidRDefault="009515EB" w:rsidP="002D4D76">
      <w:pPr>
        <w:spacing w:after="0" w:line="276" w:lineRule="auto"/>
        <w:rPr>
          <w:rFonts w:ascii="Arial" w:hAnsi="Arial" w:cs="Arial"/>
          <w:sz w:val="21"/>
          <w:szCs w:val="21"/>
        </w:rPr>
      </w:pPr>
      <w:r w:rsidRPr="002D4D76">
        <w:rPr>
          <w:rFonts w:ascii="Arial" w:hAnsi="Arial" w:cs="Arial"/>
          <w:sz w:val="21"/>
          <w:szCs w:val="21"/>
        </w:rPr>
        <w:t xml:space="preserve">Celkový přístup k úvěrům však zůstává </w:t>
      </w:r>
      <w:r w:rsidR="00F96659">
        <w:rPr>
          <w:rFonts w:ascii="Arial" w:hAnsi="Arial" w:cs="Arial"/>
          <w:sz w:val="21"/>
          <w:szCs w:val="21"/>
        </w:rPr>
        <w:t>dlouhodobě</w:t>
      </w:r>
      <w:r w:rsidRPr="002D4D76">
        <w:rPr>
          <w:rFonts w:ascii="Arial" w:hAnsi="Arial" w:cs="Arial"/>
          <w:sz w:val="21"/>
          <w:szCs w:val="21"/>
        </w:rPr>
        <w:t xml:space="preserve"> konzervativní. „</w:t>
      </w:r>
      <w:r w:rsidRPr="00DC325F">
        <w:rPr>
          <w:rFonts w:ascii="Arial" w:hAnsi="Arial" w:cs="Arial"/>
          <w:i/>
          <w:iCs/>
          <w:sz w:val="21"/>
          <w:szCs w:val="21"/>
        </w:rPr>
        <w:t xml:space="preserve">V roce 2026 potvrdilo zkušenost s úvěrem </w:t>
      </w:r>
      <w:r w:rsidR="002052E4">
        <w:rPr>
          <w:rFonts w:ascii="Arial" w:hAnsi="Arial" w:cs="Arial"/>
          <w:i/>
          <w:iCs/>
          <w:sz w:val="21"/>
          <w:szCs w:val="21"/>
        </w:rPr>
        <w:t>11</w:t>
      </w:r>
      <w:r w:rsidR="00373133">
        <w:rPr>
          <w:rFonts w:ascii="Arial" w:hAnsi="Arial" w:cs="Arial"/>
          <w:i/>
          <w:iCs/>
          <w:sz w:val="21"/>
          <w:szCs w:val="21"/>
        </w:rPr>
        <w:t> </w:t>
      </w:r>
      <w:r w:rsidRPr="00DC325F">
        <w:rPr>
          <w:rFonts w:ascii="Arial" w:hAnsi="Arial" w:cs="Arial"/>
          <w:i/>
          <w:iCs/>
          <w:sz w:val="21"/>
          <w:szCs w:val="21"/>
        </w:rPr>
        <w:t xml:space="preserve">% </w:t>
      </w:r>
      <w:r w:rsidR="00EC2C86" w:rsidRPr="00DC325F">
        <w:rPr>
          <w:rFonts w:ascii="Arial" w:hAnsi="Arial" w:cs="Arial"/>
          <w:i/>
          <w:iCs/>
          <w:sz w:val="21"/>
          <w:szCs w:val="21"/>
        </w:rPr>
        <w:t>respondentů</w:t>
      </w:r>
      <w:r w:rsidRPr="00DC325F">
        <w:rPr>
          <w:rFonts w:ascii="Arial" w:hAnsi="Arial" w:cs="Arial"/>
          <w:i/>
          <w:iCs/>
          <w:sz w:val="21"/>
          <w:szCs w:val="21"/>
        </w:rPr>
        <w:t xml:space="preserve">, </w:t>
      </w:r>
      <w:r w:rsidR="00735BC8" w:rsidRPr="00DC325F">
        <w:rPr>
          <w:rFonts w:ascii="Arial" w:hAnsi="Arial" w:cs="Arial"/>
          <w:i/>
          <w:iCs/>
          <w:sz w:val="21"/>
          <w:szCs w:val="21"/>
        </w:rPr>
        <w:t xml:space="preserve">zatímco </w:t>
      </w:r>
      <w:r w:rsidRPr="00DC325F">
        <w:rPr>
          <w:rFonts w:ascii="Arial" w:hAnsi="Arial" w:cs="Arial"/>
          <w:i/>
          <w:iCs/>
          <w:sz w:val="21"/>
          <w:szCs w:val="21"/>
        </w:rPr>
        <w:t xml:space="preserve">v loňském roce to bylo </w:t>
      </w:r>
      <w:r w:rsidR="002052E4">
        <w:rPr>
          <w:rFonts w:ascii="Arial" w:hAnsi="Arial" w:cs="Arial"/>
          <w:i/>
          <w:iCs/>
          <w:sz w:val="21"/>
          <w:szCs w:val="21"/>
        </w:rPr>
        <w:t>12</w:t>
      </w:r>
      <w:r w:rsidRPr="00DC325F">
        <w:rPr>
          <w:rFonts w:ascii="Arial" w:hAnsi="Arial" w:cs="Arial"/>
          <w:i/>
          <w:iCs/>
          <w:sz w:val="21"/>
          <w:szCs w:val="21"/>
        </w:rPr>
        <w:t xml:space="preserve"> </w:t>
      </w:r>
      <w:r w:rsidR="002052E4">
        <w:rPr>
          <w:rFonts w:ascii="Arial" w:hAnsi="Arial" w:cs="Arial"/>
          <w:i/>
          <w:iCs/>
          <w:sz w:val="21"/>
          <w:szCs w:val="21"/>
        </w:rPr>
        <w:t xml:space="preserve">%. </w:t>
      </w:r>
      <w:r w:rsidR="00735BC8" w:rsidRPr="00DC325F">
        <w:rPr>
          <w:rFonts w:ascii="Arial" w:hAnsi="Arial" w:cs="Arial"/>
          <w:i/>
          <w:iCs/>
          <w:sz w:val="21"/>
          <w:szCs w:val="21"/>
        </w:rPr>
        <w:t>Data tak ukazují, že ochota Čechů využívat úvěrové financování se v</w:t>
      </w:r>
      <w:r w:rsidR="002052E4">
        <w:rPr>
          <w:rFonts w:ascii="Arial" w:hAnsi="Arial" w:cs="Arial"/>
          <w:i/>
          <w:iCs/>
          <w:sz w:val="21"/>
          <w:szCs w:val="21"/>
        </w:rPr>
        <w:t> posledních letech</w:t>
      </w:r>
      <w:r w:rsidR="00735BC8" w:rsidRPr="00DC325F">
        <w:rPr>
          <w:rFonts w:ascii="Arial" w:hAnsi="Arial" w:cs="Arial"/>
          <w:i/>
          <w:iCs/>
          <w:sz w:val="21"/>
          <w:szCs w:val="21"/>
        </w:rPr>
        <w:t xml:space="preserve"> výrazně nemění a zůstává relativně stabilní</w:t>
      </w:r>
      <w:r w:rsidR="00735BC8" w:rsidRPr="00572084">
        <w:rPr>
          <w:rFonts w:ascii="Arial" w:hAnsi="Arial" w:cs="Arial"/>
          <w:sz w:val="21"/>
          <w:szCs w:val="21"/>
        </w:rPr>
        <w:t xml:space="preserve">,“ uvádí </w:t>
      </w:r>
      <w:r w:rsidRPr="002D4D76">
        <w:rPr>
          <w:rFonts w:ascii="Arial" w:hAnsi="Arial" w:cs="Arial"/>
          <w:sz w:val="21"/>
          <w:szCs w:val="21"/>
        </w:rPr>
        <w:t>Jaroslav Ondrušek, hlavní analytik Home Creditu</w:t>
      </w:r>
      <w:r w:rsidR="00735BC8">
        <w:rPr>
          <w:rFonts w:ascii="Arial" w:hAnsi="Arial" w:cs="Arial"/>
          <w:sz w:val="21"/>
          <w:szCs w:val="21"/>
        </w:rPr>
        <w:t>, a dodává:</w:t>
      </w:r>
      <w:r w:rsidRPr="002D4D76">
        <w:rPr>
          <w:rFonts w:ascii="Arial" w:hAnsi="Arial" w:cs="Arial"/>
          <w:sz w:val="21"/>
          <w:szCs w:val="21"/>
        </w:rPr>
        <w:t xml:space="preserve"> </w:t>
      </w:r>
      <w:r w:rsidRPr="002D4D76">
        <w:rPr>
          <w:rFonts w:ascii="Arial" w:hAnsi="Arial" w:cs="Arial"/>
          <w:i/>
          <w:iCs/>
          <w:sz w:val="21"/>
          <w:szCs w:val="21"/>
        </w:rPr>
        <w:t>„</w:t>
      </w:r>
      <w:r w:rsidR="007431A0">
        <w:rPr>
          <w:rFonts w:ascii="Arial" w:hAnsi="Arial" w:cs="Arial"/>
          <w:i/>
          <w:iCs/>
          <w:sz w:val="21"/>
          <w:szCs w:val="21"/>
        </w:rPr>
        <w:t>Zajímavé je</w:t>
      </w:r>
      <w:r w:rsidR="00A6191A" w:rsidRPr="00A6191A">
        <w:rPr>
          <w:rFonts w:ascii="Arial" w:hAnsi="Arial" w:cs="Arial"/>
          <w:i/>
          <w:iCs/>
          <w:sz w:val="21"/>
          <w:szCs w:val="21"/>
        </w:rPr>
        <w:t>, jak Češi půjčky vnímají</w:t>
      </w:r>
      <w:r w:rsidRPr="002D4D76">
        <w:rPr>
          <w:rFonts w:ascii="Arial" w:hAnsi="Arial" w:cs="Arial"/>
          <w:i/>
          <w:iCs/>
          <w:sz w:val="21"/>
          <w:szCs w:val="21"/>
        </w:rPr>
        <w:t xml:space="preserve">. </w:t>
      </w:r>
      <w:r w:rsidR="00AA6022" w:rsidRPr="00DC325F">
        <w:rPr>
          <w:rFonts w:ascii="Arial" w:hAnsi="Arial" w:cs="Arial"/>
          <w:i/>
          <w:iCs/>
          <w:sz w:val="21"/>
          <w:szCs w:val="21"/>
        </w:rPr>
        <w:t>Pouze 10 % respondentů je považuje za zcela běžný finanční nástroj a dalších 27 % je pokládá za přijatelnou součást hospodaření, i když se je snaží využívat jen výjimečně. Největší skupina dotázaných (41 %) chápe půjčku jako nutné zlo, které má smysl využít pouze v odůvodněných situacích. Dalších 16 % lidí se pak zadlužení vyhýbá a</w:t>
      </w:r>
      <w:r w:rsidR="00B12C1A">
        <w:rPr>
          <w:rFonts w:ascii="Arial" w:hAnsi="Arial" w:cs="Arial"/>
          <w:i/>
          <w:iCs/>
          <w:sz w:val="21"/>
          <w:szCs w:val="21"/>
        </w:rPr>
        <w:t> </w:t>
      </w:r>
      <w:r w:rsidR="00AA6022" w:rsidRPr="00DC325F">
        <w:rPr>
          <w:rFonts w:ascii="Arial" w:hAnsi="Arial" w:cs="Arial"/>
          <w:i/>
          <w:iCs/>
          <w:sz w:val="21"/>
          <w:szCs w:val="21"/>
        </w:rPr>
        <w:t>půjčku by si nevzali za žádných okolností</w:t>
      </w:r>
      <w:r w:rsidR="00AA6022">
        <w:rPr>
          <w:rFonts w:ascii="Arial" w:hAnsi="Arial" w:cs="Arial"/>
          <w:sz w:val="21"/>
          <w:szCs w:val="21"/>
        </w:rPr>
        <w:t>.</w:t>
      </w:r>
      <w:r w:rsidR="00735BC8" w:rsidRPr="00572084">
        <w:rPr>
          <w:rFonts w:ascii="Arial" w:hAnsi="Arial" w:cs="Arial"/>
          <w:sz w:val="21"/>
          <w:szCs w:val="21"/>
        </w:rPr>
        <w:t>“</w:t>
      </w:r>
      <w:r w:rsidRPr="002D4D76">
        <w:rPr>
          <w:rFonts w:ascii="Arial" w:hAnsi="Arial" w:cs="Arial"/>
          <w:sz w:val="21"/>
          <w:szCs w:val="21"/>
        </w:rPr>
        <w:t xml:space="preserve"> </w:t>
      </w:r>
    </w:p>
    <w:p w14:paraId="4AF6A725" w14:textId="77777777" w:rsidR="009515EB" w:rsidRPr="002D4D76" w:rsidRDefault="009515EB" w:rsidP="002D4D76">
      <w:pPr>
        <w:spacing w:after="0" w:line="276" w:lineRule="auto"/>
        <w:rPr>
          <w:rFonts w:ascii="Arial" w:hAnsi="Arial" w:cs="Arial"/>
          <w:sz w:val="21"/>
          <w:szCs w:val="21"/>
        </w:rPr>
      </w:pPr>
    </w:p>
    <w:p w14:paraId="7377202A" w14:textId="77777777" w:rsidR="009515EB" w:rsidRPr="002D4D76" w:rsidRDefault="009515EB" w:rsidP="002D4D76">
      <w:pPr>
        <w:spacing w:after="0" w:line="276" w:lineRule="auto"/>
        <w:rPr>
          <w:rFonts w:ascii="Arial" w:hAnsi="Arial" w:cs="Arial"/>
          <w:b/>
          <w:bCs/>
          <w:sz w:val="21"/>
          <w:szCs w:val="21"/>
        </w:rPr>
      </w:pPr>
      <w:r w:rsidRPr="002D4D76">
        <w:rPr>
          <w:rFonts w:ascii="Arial" w:hAnsi="Arial" w:cs="Arial"/>
          <w:b/>
          <w:bCs/>
          <w:sz w:val="21"/>
          <w:szCs w:val="21"/>
        </w:rPr>
        <w:t xml:space="preserve">Jak Češi vybírají poskytovatele půjčky? </w:t>
      </w:r>
    </w:p>
    <w:p w14:paraId="3C19D069" w14:textId="3543F0A2" w:rsidR="009515EB" w:rsidRPr="002D4D76" w:rsidRDefault="009515EB" w:rsidP="002D4D76">
      <w:pPr>
        <w:spacing w:after="0" w:line="276" w:lineRule="auto"/>
        <w:rPr>
          <w:rFonts w:ascii="Arial" w:hAnsi="Arial" w:cs="Arial"/>
          <w:sz w:val="21"/>
          <w:szCs w:val="21"/>
        </w:rPr>
      </w:pPr>
      <w:r w:rsidRPr="002D4D76">
        <w:rPr>
          <w:rFonts w:ascii="Arial" w:hAnsi="Arial" w:cs="Arial"/>
          <w:sz w:val="21"/>
          <w:szCs w:val="21"/>
        </w:rPr>
        <w:t xml:space="preserve">Při výběru finančního produktu </w:t>
      </w:r>
      <w:r w:rsidR="00D45127">
        <w:rPr>
          <w:rFonts w:ascii="Arial" w:hAnsi="Arial" w:cs="Arial"/>
          <w:sz w:val="21"/>
          <w:szCs w:val="21"/>
        </w:rPr>
        <w:t xml:space="preserve">se </w:t>
      </w:r>
      <w:r w:rsidR="008E5391" w:rsidRPr="00DD1E42">
        <w:rPr>
          <w:rFonts w:ascii="Arial" w:hAnsi="Arial" w:cs="Arial"/>
          <w:sz w:val="21"/>
          <w:szCs w:val="21"/>
        </w:rPr>
        <w:t>Češi nejčastěji obracejí na svou banku. Letos tak postupovalo 44 % respondentů, což představuje mírný pokles oproti loňskému roku, kdy šlo o přesnou polovinu dotázaných</w:t>
      </w:r>
      <w:r w:rsidR="00C82FCC">
        <w:rPr>
          <w:rFonts w:ascii="Arial" w:hAnsi="Arial" w:cs="Arial"/>
          <w:sz w:val="21"/>
          <w:szCs w:val="21"/>
        </w:rPr>
        <w:t xml:space="preserve">. </w:t>
      </w:r>
      <w:r w:rsidRPr="002D4D76">
        <w:rPr>
          <w:rFonts w:ascii="Arial" w:hAnsi="Arial" w:cs="Arial"/>
          <w:i/>
          <w:iCs/>
          <w:sz w:val="21"/>
          <w:szCs w:val="21"/>
        </w:rPr>
        <w:t xml:space="preserve">„Data z průzkumu </w:t>
      </w:r>
      <w:r w:rsidR="00C82FCC">
        <w:rPr>
          <w:rFonts w:ascii="Arial" w:hAnsi="Arial" w:cs="Arial"/>
          <w:i/>
          <w:iCs/>
          <w:sz w:val="21"/>
          <w:szCs w:val="21"/>
        </w:rPr>
        <w:t xml:space="preserve">zároveň </w:t>
      </w:r>
      <w:r w:rsidRPr="002D4D76">
        <w:rPr>
          <w:rFonts w:ascii="Arial" w:hAnsi="Arial" w:cs="Arial"/>
          <w:i/>
          <w:iCs/>
          <w:sz w:val="21"/>
          <w:szCs w:val="21"/>
        </w:rPr>
        <w:t xml:space="preserve">ukazují </w:t>
      </w:r>
      <w:r w:rsidR="00DC325F">
        <w:rPr>
          <w:rFonts w:ascii="Arial" w:hAnsi="Arial" w:cs="Arial"/>
          <w:i/>
          <w:iCs/>
          <w:sz w:val="21"/>
          <w:szCs w:val="21"/>
        </w:rPr>
        <w:t xml:space="preserve">pomalý ale </w:t>
      </w:r>
      <w:r w:rsidRPr="002D4D76">
        <w:rPr>
          <w:rFonts w:ascii="Arial" w:hAnsi="Arial" w:cs="Arial"/>
          <w:i/>
          <w:iCs/>
          <w:sz w:val="21"/>
          <w:szCs w:val="21"/>
        </w:rPr>
        <w:t>pozitivní trend</w:t>
      </w:r>
      <w:r w:rsidR="00D45127" w:rsidRPr="00D45127">
        <w:rPr>
          <w:rFonts w:ascii="Arial" w:hAnsi="Arial" w:cs="Arial"/>
          <w:sz w:val="21"/>
          <w:szCs w:val="21"/>
        </w:rPr>
        <w:t xml:space="preserve"> </w:t>
      </w:r>
      <w:r w:rsidR="00D45127" w:rsidRPr="00DC325F">
        <w:rPr>
          <w:rFonts w:ascii="Arial" w:hAnsi="Arial" w:cs="Arial"/>
          <w:i/>
          <w:iCs/>
          <w:sz w:val="21"/>
          <w:szCs w:val="21"/>
        </w:rPr>
        <w:t>v podobě rostoucího zájmu o porovnávání</w:t>
      </w:r>
      <w:r w:rsidR="00D45127">
        <w:rPr>
          <w:rFonts w:ascii="Arial" w:hAnsi="Arial" w:cs="Arial"/>
          <w:sz w:val="21"/>
          <w:szCs w:val="21"/>
        </w:rPr>
        <w:t xml:space="preserve"> </w:t>
      </w:r>
      <w:r w:rsidR="002876F9" w:rsidRPr="00DC325F">
        <w:rPr>
          <w:rFonts w:ascii="Arial" w:hAnsi="Arial" w:cs="Arial"/>
          <w:i/>
          <w:iCs/>
          <w:sz w:val="21"/>
          <w:szCs w:val="21"/>
        </w:rPr>
        <w:t>nabídek různých poskytovatelů. Parametry půjček si dnes srovnává</w:t>
      </w:r>
      <w:r w:rsidR="002876F9">
        <w:rPr>
          <w:rFonts w:ascii="Arial" w:hAnsi="Arial" w:cs="Arial"/>
          <w:i/>
          <w:iCs/>
          <w:sz w:val="21"/>
          <w:szCs w:val="21"/>
        </w:rPr>
        <w:t xml:space="preserve"> již</w:t>
      </w:r>
      <w:r w:rsidRPr="002D4D76">
        <w:rPr>
          <w:rFonts w:ascii="Arial" w:hAnsi="Arial" w:cs="Arial"/>
          <w:i/>
          <w:iCs/>
          <w:sz w:val="21"/>
          <w:szCs w:val="21"/>
        </w:rPr>
        <w:t xml:space="preserve"> čtvrtina respondentů. </w:t>
      </w:r>
      <w:r w:rsidR="002876F9" w:rsidRPr="00DC325F">
        <w:rPr>
          <w:rFonts w:ascii="Arial" w:hAnsi="Arial" w:cs="Arial"/>
          <w:i/>
          <w:iCs/>
          <w:sz w:val="21"/>
          <w:szCs w:val="21"/>
        </w:rPr>
        <w:t xml:space="preserve">Přestože nejde o nijak vysoký podíl, oproti loňskému roku evidujeme </w:t>
      </w:r>
      <w:r w:rsidR="00DC325F">
        <w:rPr>
          <w:rFonts w:ascii="Arial" w:hAnsi="Arial" w:cs="Arial"/>
          <w:i/>
          <w:iCs/>
          <w:sz w:val="21"/>
          <w:szCs w:val="21"/>
        </w:rPr>
        <w:t>procentní</w:t>
      </w:r>
      <w:r w:rsidR="002876F9" w:rsidRPr="00DC325F">
        <w:rPr>
          <w:rFonts w:ascii="Arial" w:hAnsi="Arial" w:cs="Arial"/>
          <w:i/>
          <w:iCs/>
          <w:sz w:val="21"/>
          <w:szCs w:val="21"/>
        </w:rPr>
        <w:t xml:space="preserve"> nárůst, což naznačuje, že lidé věnují výběru úvěru větší pozornost a rozhodují se informovaněji</w:t>
      </w:r>
      <w:r w:rsidRPr="002D4D76">
        <w:rPr>
          <w:rFonts w:ascii="Arial" w:hAnsi="Arial" w:cs="Arial"/>
          <w:i/>
          <w:iCs/>
          <w:sz w:val="21"/>
          <w:szCs w:val="21"/>
        </w:rPr>
        <w:t xml:space="preserve">,“ </w:t>
      </w:r>
      <w:r w:rsidRPr="002D4D76">
        <w:rPr>
          <w:rFonts w:ascii="Arial" w:hAnsi="Arial" w:cs="Arial"/>
          <w:sz w:val="21"/>
          <w:szCs w:val="21"/>
        </w:rPr>
        <w:t xml:space="preserve">zmiňuje Jaroslav Ondrušek. </w:t>
      </w:r>
    </w:p>
    <w:p w14:paraId="0B63D8A6" w14:textId="77777777" w:rsidR="00DD1E42" w:rsidRPr="002D4D76" w:rsidRDefault="00DD1E42" w:rsidP="002D4D76">
      <w:pPr>
        <w:spacing w:after="0" w:line="276" w:lineRule="auto"/>
        <w:rPr>
          <w:rFonts w:ascii="Arial" w:hAnsi="Arial" w:cs="Arial"/>
          <w:sz w:val="21"/>
          <w:szCs w:val="21"/>
        </w:rPr>
      </w:pPr>
    </w:p>
    <w:p w14:paraId="1A4780A6" w14:textId="09848B3C" w:rsidR="00D65780" w:rsidRDefault="009515EB" w:rsidP="002D4D76">
      <w:pPr>
        <w:spacing w:after="0" w:line="276" w:lineRule="auto"/>
        <w:rPr>
          <w:rFonts w:ascii="Arial" w:hAnsi="Arial" w:cs="Arial"/>
          <w:sz w:val="21"/>
          <w:szCs w:val="21"/>
        </w:rPr>
      </w:pPr>
      <w:r w:rsidRPr="002D4D76">
        <w:rPr>
          <w:rFonts w:ascii="Arial" w:hAnsi="Arial" w:cs="Arial"/>
          <w:noProof/>
          <w:sz w:val="21"/>
          <w:szCs w:val="21"/>
        </w:rPr>
        <w:drawing>
          <wp:inline distT="0" distB="0" distL="0" distR="0" wp14:anchorId="6BF509C1" wp14:editId="4CF4C255">
            <wp:extent cx="5379395" cy="1887166"/>
            <wp:effectExtent l="0" t="0" r="18415" b="18415"/>
            <wp:docPr id="677257639"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DE5044" w14:textId="77777777" w:rsidR="002359C7" w:rsidRPr="002359C7" w:rsidRDefault="002359C7" w:rsidP="002359C7">
      <w:pPr>
        <w:spacing w:after="0" w:line="276" w:lineRule="auto"/>
        <w:rPr>
          <w:rFonts w:ascii="Arial" w:hAnsi="Arial" w:cs="Arial"/>
          <w:sz w:val="20"/>
          <w:szCs w:val="20"/>
        </w:rPr>
      </w:pPr>
      <w:r w:rsidRPr="002359C7">
        <w:rPr>
          <w:rFonts w:ascii="Arial" w:hAnsi="Arial" w:cs="Arial"/>
          <w:sz w:val="20"/>
          <w:szCs w:val="20"/>
        </w:rPr>
        <w:t>Zdroj: Interní PR výzkum HC, Rodinné finance 2026 (Ipsos Instant Research)</w:t>
      </w:r>
    </w:p>
    <w:p w14:paraId="637C84EA" w14:textId="77777777" w:rsidR="009515EB" w:rsidRPr="002D4D76" w:rsidRDefault="009515EB" w:rsidP="002D4D76">
      <w:pPr>
        <w:spacing w:after="0" w:line="276" w:lineRule="auto"/>
        <w:rPr>
          <w:rFonts w:ascii="Arial" w:hAnsi="Arial" w:cs="Arial"/>
          <w:sz w:val="21"/>
          <w:szCs w:val="21"/>
        </w:rPr>
      </w:pPr>
    </w:p>
    <w:p w14:paraId="3B04006A" w14:textId="77777777" w:rsidR="009515EB" w:rsidRPr="002D4D76" w:rsidRDefault="009515EB" w:rsidP="002D4D76">
      <w:pPr>
        <w:spacing w:after="0" w:line="276" w:lineRule="auto"/>
        <w:rPr>
          <w:rFonts w:ascii="Arial" w:hAnsi="Arial" w:cs="Arial"/>
          <w:b/>
          <w:bCs/>
          <w:sz w:val="21"/>
          <w:szCs w:val="21"/>
        </w:rPr>
      </w:pPr>
      <w:r w:rsidRPr="002D4D76">
        <w:rPr>
          <w:rFonts w:ascii="Arial" w:hAnsi="Arial" w:cs="Arial"/>
          <w:b/>
          <w:bCs/>
          <w:sz w:val="21"/>
          <w:szCs w:val="21"/>
        </w:rPr>
        <w:t>Investice do hodnoty: Auta a bydlení vedou</w:t>
      </w:r>
    </w:p>
    <w:p w14:paraId="2390C291" w14:textId="06515A60" w:rsidR="009515EB" w:rsidRPr="00DC325F" w:rsidRDefault="009515EB" w:rsidP="002D4D76">
      <w:pPr>
        <w:spacing w:after="0" w:line="276" w:lineRule="auto"/>
        <w:rPr>
          <w:rFonts w:ascii="Arial" w:hAnsi="Arial" w:cs="Arial"/>
          <w:sz w:val="21"/>
          <w:szCs w:val="21"/>
        </w:rPr>
      </w:pPr>
      <w:r w:rsidRPr="002D4D76">
        <w:rPr>
          <w:rFonts w:ascii="Arial" w:hAnsi="Arial" w:cs="Arial"/>
          <w:sz w:val="21"/>
          <w:szCs w:val="21"/>
        </w:rPr>
        <w:t xml:space="preserve">Způsob, jakým Češi o půjčkách přemýšlejí, </w:t>
      </w:r>
      <w:r w:rsidR="00404EF8" w:rsidRPr="002A7CF6">
        <w:rPr>
          <w:rFonts w:ascii="Arial" w:hAnsi="Arial" w:cs="Arial"/>
          <w:sz w:val="21"/>
          <w:szCs w:val="21"/>
        </w:rPr>
        <w:t>zůstává dlouhodobě poměrně stabilní</w:t>
      </w:r>
      <w:r w:rsidRPr="002D4D76">
        <w:rPr>
          <w:rFonts w:ascii="Arial" w:hAnsi="Arial" w:cs="Arial"/>
          <w:sz w:val="21"/>
          <w:szCs w:val="21"/>
        </w:rPr>
        <w:t xml:space="preserve">. </w:t>
      </w:r>
      <w:r w:rsidR="00404EF8" w:rsidRPr="002A7CF6">
        <w:rPr>
          <w:rFonts w:ascii="Arial" w:hAnsi="Arial" w:cs="Arial"/>
          <w:sz w:val="21"/>
          <w:szCs w:val="21"/>
        </w:rPr>
        <w:t>Nejčastěji si úvěr pořizují na výdaje, které vnímají jako investici s dlouhodobější hodnotou nebo praktickým přínosem</w:t>
      </w:r>
      <w:r w:rsidRPr="002D4D76">
        <w:rPr>
          <w:rFonts w:ascii="Arial" w:hAnsi="Arial" w:cs="Arial"/>
          <w:i/>
          <w:iCs/>
          <w:sz w:val="21"/>
          <w:szCs w:val="21"/>
        </w:rPr>
        <w:t xml:space="preserve">. „Češi si nejčastěji půjčují na </w:t>
      </w:r>
      <w:r w:rsidR="00BD4F40">
        <w:rPr>
          <w:rFonts w:ascii="Arial" w:hAnsi="Arial" w:cs="Arial"/>
          <w:i/>
          <w:iCs/>
          <w:sz w:val="21"/>
          <w:szCs w:val="21"/>
        </w:rPr>
        <w:t xml:space="preserve">pořízení </w:t>
      </w:r>
      <w:r w:rsidRPr="002D4D76">
        <w:rPr>
          <w:rFonts w:ascii="Arial" w:hAnsi="Arial" w:cs="Arial"/>
          <w:i/>
          <w:iCs/>
          <w:sz w:val="21"/>
          <w:szCs w:val="21"/>
        </w:rPr>
        <w:t>automobil</w:t>
      </w:r>
      <w:r w:rsidR="00BD4F40">
        <w:rPr>
          <w:rFonts w:ascii="Arial" w:hAnsi="Arial" w:cs="Arial"/>
          <w:i/>
          <w:iCs/>
          <w:sz w:val="21"/>
          <w:szCs w:val="21"/>
        </w:rPr>
        <w:t>u</w:t>
      </w:r>
      <w:r w:rsidRPr="002D4D76">
        <w:rPr>
          <w:rFonts w:ascii="Arial" w:hAnsi="Arial" w:cs="Arial"/>
          <w:i/>
          <w:iCs/>
          <w:sz w:val="21"/>
          <w:szCs w:val="21"/>
        </w:rPr>
        <w:t xml:space="preserve"> (28 %) a rekonstrukc</w:t>
      </w:r>
      <w:r w:rsidR="00BD4F40">
        <w:rPr>
          <w:rFonts w:ascii="Arial" w:hAnsi="Arial" w:cs="Arial"/>
          <w:i/>
          <w:iCs/>
          <w:sz w:val="21"/>
          <w:szCs w:val="21"/>
        </w:rPr>
        <w:t>i</w:t>
      </w:r>
      <w:r w:rsidRPr="002D4D76">
        <w:rPr>
          <w:rFonts w:ascii="Arial" w:hAnsi="Arial" w:cs="Arial"/>
          <w:i/>
          <w:iCs/>
          <w:sz w:val="21"/>
          <w:szCs w:val="21"/>
        </w:rPr>
        <w:t xml:space="preserve"> bydlení (17 %)</w:t>
      </w:r>
      <w:r w:rsidR="00BD4F40">
        <w:rPr>
          <w:rFonts w:ascii="Arial" w:hAnsi="Arial" w:cs="Arial"/>
          <w:i/>
          <w:iCs/>
          <w:sz w:val="21"/>
          <w:szCs w:val="21"/>
        </w:rPr>
        <w:t>.</w:t>
      </w:r>
      <w:r w:rsidR="008C1914">
        <w:rPr>
          <w:rFonts w:ascii="Arial" w:hAnsi="Arial" w:cs="Arial"/>
          <w:i/>
          <w:iCs/>
          <w:sz w:val="21"/>
          <w:szCs w:val="21"/>
        </w:rPr>
        <w:t xml:space="preserve"> Data však odhalují i méně pozitivní trend. </w:t>
      </w:r>
      <w:r w:rsidR="008C1914">
        <w:rPr>
          <w:rFonts w:ascii="Arial" w:hAnsi="Arial" w:cs="Arial"/>
          <w:i/>
          <w:iCs/>
          <w:sz w:val="21"/>
          <w:szCs w:val="21"/>
        </w:rPr>
        <w:lastRenderedPageBreak/>
        <w:t xml:space="preserve">Znepokojivé je, že </w:t>
      </w:r>
      <w:r w:rsidRPr="002D4D76">
        <w:rPr>
          <w:rFonts w:ascii="Arial" w:hAnsi="Arial" w:cs="Arial"/>
          <w:i/>
          <w:iCs/>
          <w:sz w:val="21"/>
          <w:szCs w:val="21"/>
        </w:rPr>
        <w:t>celých 9 % respondentů si půjčuje na běžné výdaje domácnosti a 6 % na splacení jiné</w:t>
      </w:r>
      <w:r w:rsidR="00041F00">
        <w:rPr>
          <w:rFonts w:ascii="Arial" w:hAnsi="Arial" w:cs="Arial"/>
          <w:i/>
          <w:iCs/>
          <w:sz w:val="21"/>
          <w:szCs w:val="21"/>
        </w:rPr>
        <w:t>ho úvěru</w:t>
      </w:r>
      <w:r w:rsidRPr="00041F00">
        <w:rPr>
          <w:rFonts w:ascii="Arial" w:hAnsi="Arial" w:cs="Arial"/>
          <w:i/>
          <w:iCs/>
          <w:sz w:val="21"/>
          <w:szCs w:val="21"/>
        </w:rPr>
        <w:t xml:space="preserve">. </w:t>
      </w:r>
      <w:r w:rsidR="00041F00" w:rsidRPr="00DC325F">
        <w:rPr>
          <w:rFonts w:ascii="Arial" w:hAnsi="Arial" w:cs="Arial"/>
          <w:i/>
          <w:iCs/>
          <w:sz w:val="21"/>
          <w:szCs w:val="21"/>
        </w:rPr>
        <w:t xml:space="preserve">U obou těchto kategorií navíc evidujeme meziroční nárůst, což může naznačovat rostoucí tlak na rozpočty </w:t>
      </w:r>
      <w:r w:rsidR="000F71D4">
        <w:rPr>
          <w:rFonts w:ascii="Arial" w:hAnsi="Arial" w:cs="Arial"/>
          <w:i/>
          <w:iCs/>
          <w:sz w:val="21"/>
          <w:szCs w:val="21"/>
        </w:rPr>
        <w:t>některých</w:t>
      </w:r>
      <w:r w:rsidR="000F71D4" w:rsidRPr="00DC325F">
        <w:rPr>
          <w:rFonts w:ascii="Arial" w:hAnsi="Arial" w:cs="Arial"/>
          <w:i/>
          <w:iCs/>
          <w:sz w:val="21"/>
          <w:szCs w:val="21"/>
        </w:rPr>
        <w:t xml:space="preserve"> </w:t>
      </w:r>
      <w:r w:rsidR="00041F00" w:rsidRPr="00DC325F">
        <w:rPr>
          <w:rFonts w:ascii="Arial" w:hAnsi="Arial" w:cs="Arial"/>
          <w:i/>
          <w:iCs/>
          <w:sz w:val="21"/>
          <w:szCs w:val="21"/>
        </w:rPr>
        <w:t>domácností</w:t>
      </w:r>
      <w:r w:rsidR="00041F00">
        <w:rPr>
          <w:rFonts w:ascii="Arial" w:hAnsi="Arial" w:cs="Arial"/>
          <w:i/>
          <w:iCs/>
          <w:sz w:val="21"/>
          <w:szCs w:val="21"/>
        </w:rPr>
        <w:t>,</w:t>
      </w:r>
      <w:r w:rsidRPr="002D4D76">
        <w:rPr>
          <w:rFonts w:ascii="Arial" w:hAnsi="Arial" w:cs="Arial"/>
          <w:i/>
          <w:iCs/>
          <w:sz w:val="21"/>
          <w:szCs w:val="21"/>
        </w:rPr>
        <w:t>“</w:t>
      </w:r>
      <w:r w:rsidR="00041F00">
        <w:rPr>
          <w:rFonts w:ascii="Arial" w:hAnsi="Arial" w:cs="Arial"/>
          <w:i/>
          <w:iCs/>
          <w:sz w:val="21"/>
          <w:szCs w:val="21"/>
        </w:rPr>
        <w:t xml:space="preserve"> </w:t>
      </w:r>
      <w:r w:rsidR="00041F00">
        <w:rPr>
          <w:rFonts w:ascii="Arial" w:hAnsi="Arial" w:cs="Arial"/>
          <w:sz w:val="21"/>
          <w:szCs w:val="21"/>
        </w:rPr>
        <w:t xml:space="preserve">uvádí Jaroslav Ondrušek. </w:t>
      </w:r>
    </w:p>
    <w:p w14:paraId="1B9C347E" w14:textId="77777777" w:rsidR="00F802A4" w:rsidRPr="002D4D76" w:rsidRDefault="00F802A4" w:rsidP="002D4D76">
      <w:pPr>
        <w:spacing w:after="0" w:line="276" w:lineRule="auto"/>
        <w:rPr>
          <w:rFonts w:ascii="Arial" w:hAnsi="Arial" w:cs="Arial"/>
          <w:i/>
          <w:iCs/>
          <w:sz w:val="21"/>
          <w:szCs w:val="21"/>
        </w:rPr>
      </w:pPr>
    </w:p>
    <w:p w14:paraId="4BCBA8BA" w14:textId="2D8E1237" w:rsidR="009C690C" w:rsidRDefault="009C690C" w:rsidP="002D4D76">
      <w:pPr>
        <w:spacing w:after="0" w:line="276" w:lineRule="auto"/>
        <w:rPr>
          <w:rFonts w:ascii="Arial" w:hAnsi="Arial" w:cs="Arial"/>
          <w:b/>
          <w:bCs/>
          <w:sz w:val="21"/>
          <w:szCs w:val="21"/>
        </w:rPr>
      </w:pPr>
      <w:r w:rsidRPr="004D3B97">
        <w:rPr>
          <w:noProof/>
        </w:rPr>
        <w:drawing>
          <wp:inline distT="0" distB="0" distL="0" distR="0" wp14:anchorId="3E5D80B4" wp14:editId="241F4020">
            <wp:extent cx="5036820" cy="2689860"/>
            <wp:effectExtent l="0" t="0" r="11430" b="15240"/>
            <wp:docPr id="377589445"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F1FE15" w14:textId="77777777" w:rsidR="009C690C" w:rsidRPr="009C690C" w:rsidRDefault="009C690C" w:rsidP="009C690C">
      <w:pPr>
        <w:spacing w:after="0" w:line="276" w:lineRule="auto"/>
        <w:rPr>
          <w:rFonts w:ascii="Arial" w:hAnsi="Arial" w:cs="Arial"/>
          <w:sz w:val="20"/>
          <w:szCs w:val="20"/>
        </w:rPr>
      </w:pPr>
      <w:r w:rsidRPr="009C690C">
        <w:rPr>
          <w:rFonts w:ascii="Arial" w:hAnsi="Arial" w:cs="Arial"/>
          <w:sz w:val="20"/>
          <w:szCs w:val="20"/>
        </w:rPr>
        <w:t>Zdroj: Interní PR výzkum HC, Rodinné finance 2026 (Ipsos Instant Research)</w:t>
      </w:r>
    </w:p>
    <w:p w14:paraId="091D8C67" w14:textId="77777777" w:rsidR="009C690C" w:rsidRDefault="009C690C" w:rsidP="002D4D76">
      <w:pPr>
        <w:spacing w:after="0" w:line="276" w:lineRule="auto"/>
        <w:rPr>
          <w:rFonts w:ascii="Arial" w:hAnsi="Arial" w:cs="Arial"/>
          <w:b/>
          <w:bCs/>
          <w:sz w:val="21"/>
          <w:szCs w:val="21"/>
        </w:rPr>
      </w:pPr>
    </w:p>
    <w:p w14:paraId="21C178AE" w14:textId="16A9BF53" w:rsidR="009515EB" w:rsidRPr="002D4D76" w:rsidRDefault="009515EB" w:rsidP="002D4D76">
      <w:pPr>
        <w:spacing w:after="0" w:line="276" w:lineRule="auto"/>
        <w:rPr>
          <w:rFonts w:ascii="Arial" w:hAnsi="Arial" w:cs="Arial"/>
          <w:b/>
          <w:bCs/>
          <w:sz w:val="21"/>
          <w:szCs w:val="21"/>
        </w:rPr>
      </w:pPr>
      <w:r w:rsidRPr="002D4D76">
        <w:rPr>
          <w:rFonts w:ascii="Arial" w:hAnsi="Arial" w:cs="Arial"/>
          <w:b/>
          <w:bCs/>
          <w:sz w:val="21"/>
          <w:szCs w:val="21"/>
        </w:rPr>
        <w:t>Ombudsman radí: Půjčujte si rozumně</w:t>
      </w:r>
    </w:p>
    <w:p w14:paraId="4429E39D" w14:textId="7EF698DC" w:rsidR="0081072B" w:rsidRDefault="008A38A5" w:rsidP="002D4D76">
      <w:pPr>
        <w:spacing w:after="0" w:line="276" w:lineRule="auto"/>
        <w:rPr>
          <w:rFonts w:ascii="Arial" w:hAnsi="Arial" w:cs="Arial"/>
          <w:sz w:val="21"/>
          <w:szCs w:val="21"/>
        </w:rPr>
      </w:pPr>
      <w:r w:rsidRPr="008A38A5">
        <w:rPr>
          <w:rFonts w:ascii="Arial" w:hAnsi="Arial" w:cs="Arial"/>
          <w:sz w:val="21"/>
          <w:szCs w:val="21"/>
        </w:rPr>
        <w:t>Správné využívání úvěrů je podle odborníků zásadní pro dlouhodobou finanční stabilitu</w:t>
      </w:r>
      <w:r w:rsidR="009515EB" w:rsidRPr="002D4D76">
        <w:rPr>
          <w:rFonts w:ascii="Arial" w:hAnsi="Arial" w:cs="Arial"/>
          <w:sz w:val="21"/>
          <w:szCs w:val="21"/>
        </w:rPr>
        <w:t xml:space="preserve">: </w:t>
      </w:r>
      <w:r w:rsidR="009515EB" w:rsidRPr="002D4D76">
        <w:rPr>
          <w:rFonts w:ascii="Arial" w:hAnsi="Arial" w:cs="Arial"/>
          <w:i/>
          <w:iCs/>
          <w:sz w:val="21"/>
          <w:szCs w:val="21"/>
        </w:rPr>
        <w:t xml:space="preserve">„Úvěr by měl </w:t>
      </w:r>
      <w:r w:rsidR="00181DBE" w:rsidRPr="00DC325F">
        <w:rPr>
          <w:rFonts w:ascii="Arial" w:hAnsi="Arial" w:cs="Arial"/>
          <w:i/>
          <w:iCs/>
          <w:sz w:val="21"/>
          <w:szCs w:val="21"/>
        </w:rPr>
        <w:t>sloužit především jako nástroj, který pomůže financovat věci s trvalejší hodnotou nebo přispěje ke zvýšení kvality života, ať už jde o bydlení, vzdělání nebo automobil potřebný k výkonu práce. Naopak financování krátkodobých požitků či běžné spotřeby pomocí půjček může vést k finančním problémům</w:t>
      </w:r>
      <w:r w:rsidR="00181DBE" w:rsidRPr="008A38A5">
        <w:rPr>
          <w:rFonts w:ascii="Arial" w:hAnsi="Arial" w:cs="Arial"/>
          <w:sz w:val="21"/>
          <w:szCs w:val="21"/>
        </w:rPr>
        <w:t>,“ upozorňuje Miroslav Zborovský</w:t>
      </w:r>
      <w:r w:rsidR="000F3FCE">
        <w:rPr>
          <w:rFonts w:ascii="Arial" w:hAnsi="Arial" w:cs="Arial"/>
          <w:sz w:val="21"/>
          <w:szCs w:val="21"/>
        </w:rPr>
        <w:t xml:space="preserve">, </w:t>
      </w:r>
      <w:r w:rsidR="000E0144">
        <w:rPr>
          <w:rFonts w:ascii="Arial" w:hAnsi="Arial" w:cs="Arial"/>
          <w:sz w:val="21"/>
          <w:szCs w:val="21"/>
        </w:rPr>
        <w:t xml:space="preserve">ombudsman klientů Home Creditu, </w:t>
      </w:r>
      <w:r w:rsidR="000F3FCE">
        <w:rPr>
          <w:rFonts w:ascii="Arial" w:hAnsi="Arial" w:cs="Arial"/>
          <w:sz w:val="21"/>
          <w:szCs w:val="21"/>
        </w:rPr>
        <w:t xml:space="preserve">podle nějž by </w:t>
      </w:r>
      <w:r w:rsidR="000F3FCE" w:rsidRPr="008A38A5">
        <w:rPr>
          <w:rFonts w:ascii="Arial" w:hAnsi="Arial" w:cs="Arial"/>
          <w:sz w:val="21"/>
          <w:szCs w:val="21"/>
        </w:rPr>
        <w:t>měl každý zájemce o úvěr ještě před podpisem smlouvy důkladně zvážit svou finanční situaci a mít připravený realistický plán splácení</w:t>
      </w:r>
      <w:r w:rsidR="009C585B">
        <w:rPr>
          <w:rFonts w:ascii="Arial" w:hAnsi="Arial" w:cs="Arial"/>
          <w:sz w:val="21"/>
          <w:szCs w:val="21"/>
        </w:rPr>
        <w:t xml:space="preserve">. </w:t>
      </w:r>
      <w:r w:rsidR="000F3FCE" w:rsidRPr="002D4D76">
        <w:rPr>
          <w:rFonts w:ascii="Arial" w:hAnsi="Arial" w:cs="Arial"/>
          <w:i/>
          <w:iCs/>
          <w:sz w:val="21"/>
          <w:szCs w:val="21"/>
        </w:rPr>
        <w:t>„</w:t>
      </w:r>
      <w:r w:rsidR="000F3FCE" w:rsidRPr="00DC325F">
        <w:rPr>
          <w:rFonts w:ascii="Arial" w:hAnsi="Arial" w:cs="Arial"/>
          <w:i/>
          <w:iCs/>
          <w:sz w:val="21"/>
          <w:szCs w:val="21"/>
        </w:rPr>
        <w:t>Odpovědné zadlužování začíná ve chvíli, kdy si člověk dokáže s jistotou odpovědět na otázku, zda bude schopen svůj závazek pohodlně splácet i v případě nečekaných životních situací</w:t>
      </w:r>
      <w:r w:rsidR="000F3FCE">
        <w:rPr>
          <w:rFonts w:ascii="Arial" w:hAnsi="Arial" w:cs="Arial"/>
          <w:i/>
          <w:iCs/>
          <w:sz w:val="21"/>
          <w:szCs w:val="21"/>
        </w:rPr>
        <w:t>.</w:t>
      </w:r>
      <w:r w:rsidR="000F3FCE" w:rsidRPr="008A38A5">
        <w:rPr>
          <w:rFonts w:ascii="Arial" w:hAnsi="Arial" w:cs="Arial"/>
          <w:sz w:val="21"/>
          <w:szCs w:val="21"/>
        </w:rPr>
        <w:t>“</w:t>
      </w:r>
    </w:p>
    <w:p w14:paraId="794D626E" w14:textId="77777777" w:rsidR="00E55F56" w:rsidRDefault="00E55F56" w:rsidP="005916E5">
      <w:pPr>
        <w:spacing w:line="276" w:lineRule="auto"/>
        <w:rPr>
          <w:rFonts w:ascii="Arial" w:hAnsi="Arial" w:cs="Arial"/>
          <w:b/>
          <w:bCs/>
          <w:sz w:val="20"/>
          <w:szCs w:val="20"/>
        </w:rPr>
      </w:pPr>
    </w:p>
    <w:p w14:paraId="5F70FB61" w14:textId="08590072" w:rsidR="00454966" w:rsidRPr="005916E5" w:rsidRDefault="00ED196C" w:rsidP="005916E5">
      <w:pPr>
        <w:spacing w:line="276" w:lineRule="auto"/>
        <w:rPr>
          <w:rFonts w:ascii="Arial" w:hAnsi="Arial" w:cs="Arial"/>
          <w:sz w:val="20"/>
          <w:szCs w:val="20"/>
        </w:rPr>
      </w:pPr>
      <w:r w:rsidRPr="00A8411C">
        <w:rPr>
          <w:rFonts w:ascii="Arial" w:hAnsi="Arial" w:cs="Arial"/>
          <w:b/>
          <w:bCs/>
          <w:sz w:val="20"/>
          <w:szCs w:val="20"/>
        </w:rPr>
        <w:t>Zdroj dat:</w:t>
      </w:r>
      <w:r w:rsidRPr="00A8411C">
        <w:rPr>
          <w:rFonts w:ascii="Arial" w:hAnsi="Arial" w:cs="Arial"/>
          <w:sz w:val="20"/>
          <w:szCs w:val="20"/>
        </w:rPr>
        <w:t xml:space="preserve"> Data pocházejí z interního průzkumu Home Credit realizovaného v České republice v </w:t>
      </w:r>
      <w:r w:rsidR="002A6FCB">
        <w:rPr>
          <w:rFonts w:ascii="Arial" w:hAnsi="Arial" w:cs="Arial"/>
          <w:sz w:val="20"/>
          <w:szCs w:val="20"/>
        </w:rPr>
        <w:t>červ</w:t>
      </w:r>
      <w:r w:rsidR="002D4D76">
        <w:rPr>
          <w:rFonts w:ascii="Arial" w:hAnsi="Arial" w:cs="Arial"/>
          <w:sz w:val="20"/>
          <w:szCs w:val="20"/>
        </w:rPr>
        <w:t>nu</w:t>
      </w:r>
      <w:r w:rsidRPr="00A8411C">
        <w:rPr>
          <w:rFonts w:ascii="Arial" w:hAnsi="Arial" w:cs="Arial"/>
          <w:sz w:val="20"/>
          <w:szCs w:val="20"/>
        </w:rPr>
        <w:t xml:space="preserve"> 2026 agenturou Ipsos. Celková velikost vzorku je N = 1 0</w:t>
      </w:r>
      <w:r w:rsidR="002D4D76">
        <w:rPr>
          <w:rFonts w:ascii="Arial" w:hAnsi="Arial" w:cs="Arial"/>
          <w:sz w:val="20"/>
          <w:szCs w:val="20"/>
        </w:rPr>
        <w:t>26</w:t>
      </w:r>
      <w:r w:rsidRPr="00A8411C">
        <w:rPr>
          <w:rFonts w:ascii="Arial" w:hAnsi="Arial" w:cs="Arial"/>
          <w:sz w:val="20"/>
          <w:szCs w:val="20"/>
        </w:rPr>
        <w:t>. Při citaci dat uvádějte zdroj: Home Credit, interní průzkum, ČR.</w:t>
      </w:r>
    </w:p>
    <w:p w14:paraId="78E29C2F" w14:textId="77777777" w:rsidR="005916E5" w:rsidRPr="00A8411C" w:rsidRDefault="005916E5" w:rsidP="008C2B57">
      <w:pPr>
        <w:spacing w:after="0" w:line="276" w:lineRule="auto"/>
        <w:rPr>
          <w:rFonts w:ascii="Arial" w:hAnsi="Arial" w:cs="Arial"/>
          <w:b/>
          <w:bCs/>
          <w:sz w:val="20"/>
          <w:szCs w:val="20"/>
        </w:rPr>
      </w:pPr>
    </w:p>
    <w:p w14:paraId="186E2737" w14:textId="7A787A24" w:rsidR="005916E5" w:rsidRDefault="00435015" w:rsidP="005916E5">
      <w:pPr>
        <w:rPr>
          <w:rFonts w:ascii="Arial" w:hAnsi="Arial" w:cs="Arial"/>
          <w:sz w:val="20"/>
          <w:szCs w:val="20"/>
        </w:rPr>
      </w:pPr>
      <w:r w:rsidRPr="00A8411C">
        <w:rPr>
          <w:rFonts w:ascii="Arial" w:hAnsi="Arial" w:cs="Arial"/>
          <w:sz w:val="20"/>
          <w:szCs w:val="20"/>
        </w:rPr>
        <w:t>Kateřina Dobešová</w:t>
      </w:r>
      <w:r w:rsidRPr="00A8411C">
        <w:rPr>
          <w:rFonts w:ascii="Arial" w:hAnsi="Arial" w:cs="Arial"/>
          <w:sz w:val="20"/>
          <w:szCs w:val="20"/>
        </w:rPr>
        <w:br/>
        <w:t>Tisková mluvčí Home Credit ČR a SR</w:t>
      </w:r>
      <w:r w:rsidRPr="00A8411C">
        <w:rPr>
          <w:rFonts w:ascii="Arial" w:hAnsi="Arial" w:cs="Arial"/>
          <w:sz w:val="20"/>
          <w:szCs w:val="20"/>
        </w:rPr>
        <w:br/>
        <w:t xml:space="preserve">Tel.: </w:t>
      </w:r>
      <w:hyperlink r:id="rId13" w:history="1">
        <w:r w:rsidRPr="00A8411C">
          <w:rPr>
            <w:rStyle w:val="Hypertextovodkaz"/>
            <w:rFonts w:ascii="Arial" w:hAnsi="Arial" w:cs="Arial"/>
            <w:sz w:val="20"/>
            <w:szCs w:val="20"/>
          </w:rPr>
          <w:t>+ 420 736 473 813</w:t>
        </w:r>
        <w:r w:rsidRPr="00A8411C">
          <w:rPr>
            <w:rStyle w:val="Hypertextovodkaz"/>
            <w:rFonts w:ascii="Arial" w:hAnsi="Arial" w:cs="Arial"/>
            <w:sz w:val="20"/>
            <w:szCs w:val="20"/>
          </w:rPr>
          <w:br/>
        </w:r>
      </w:hyperlink>
      <w:r w:rsidRPr="00A8411C">
        <w:rPr>
          <w:rFonts w:ascii="Arial" w:hAnsi="Arial" w:cs="Arial"/>
          <w:sz w:val="20"/>
          <w:szCs w:val="20"/>
        </w:rPr>
        <w:t xml:space="preserve">E-mail: </w:t>
      </w:r>
      <w:hyperlink r:id="rId14" w:history="1">
        <w:r w:rsidRPr="00A8411C">
          <w:rPr>
            <w:rStyle w:val="Hypertextovodkaz"/>
            <w:rFonts w:ascii="Arial" w:hAnsi="Arial" w:cs="Arial"/>
            <w:sz w:val="20"/>
            <w:szCs w:val="20"/>
          </w:rPr>
          <w:t>katerina.dobesova@homecredit.cz</w:t>
        </w:r>
      </w:hyperlink>
    </w:p>
    <w:p w14:paraId="502CC5F0" w14:textId="6D13ADB3" w:rsidR="008C2B57" w:rsidRPr="008C2B57" w:rsidRDefault="008C2B57" w:rsidP="008C2B57">
      <w:pPr>
        <w:shd w:val="clear" w:color="auto" w:fill="FFFFFF"/>
        <w:spacing w:after="100" w:afterAutospacing="1" w:line="240" w:lineRule="auto"/>
        <w:rPr>
          <w:rFonts w:ascii="Arial" w:eastAsia="Times New Roman" w:hAnsi="Arial" w:cs="Arial"/>
          <w:color w:val="212529"/>
          <w:kern w:val="0"/>
          <w:sz w:val="20"/>
          <w:szCs w:val="20"/>
          <w:lang w:eastAsia="cs-CZ"/>
          <w14:ligatures w14:val="none"/>
        </w:rPr>
      </w:pPr>
      <w:r w:rsidRPr="008C2B57">
        <w:rPr>
          <w:rFonts w:ascii="Arial" w:eastAsia="Times New Roman" w:hAnsi="Arial" w:cs="Arial"/>
          <w:b/>
          <w:bCs/>
          <w:color w:val="000000"/>
          <w:kern w:val="0"/>
          <w:sz w:val="20"/>
          <w:szCs w:val="20"/>
          <w:lang w:eastAsia="cs-CZ"/>
          <w14:ligatures w14:val="none"/>
        </w:rPr>
        <w:t>Poznámka pro editory:</w:t>
      </w:r>
    </w:p>
    <w:p w14:paraId="60B25FA1" w14:textId="77777777" w:rsidR="008C2B57" w:rsidRPr="008C2B57" w:rsidRDefault="008C2B57" w:rsidP="008C2B57">
      <w:pPr>
        <w:shd w:val="clear" w:color="auto" w:fill="FFFFFF"/>
        <w:spacing w:after="100" w:afterAutospacing="1" w:line="240" w:lineRule="auto"/>
        <w:rPr>
          <w:rStyle w:val="Hypertextovodkaz"/>
          <w:rFonts w:ascii="Arial" w:hAnsi="Arial" w:cs="Arial"/>
          <w:sz w:val="20"/>
          <w:szCs w:val="20"/>
        </w:rPr>
      </w:pPr>
      <w:r w:rsidRPr="008C2B57">
        <w:rPr>
          <w:rFonts w:ascii="Arial" w:eastAsia="Times New Roman" w:hAnsi="Arial" w:cs="Arial"/>
          <w:b/>
          <w:bCs/>
          <w:color w:val="000000"/>
          <w:kern w:val="0"/>
          <w:sz w:val="20"/>
          <w:szCs w:val="20"/>
          <w:lang w:eastAsia="cs-CZ"/>
          <w14:ligatures w14:val="none"/>
        </w:rPr>
        <w:t>O společnosti Home Credit a.s.</w:t>
      </w:r>
      <w:r w:rsidRPr="008C2B57">
        <w:rPr>
          <w:rFonts w:ascii="Arial" w:eastAsia="Times New Roman" w:hAnsi="Arial" w:cs="Arial"/>
          <w:b/>
          <w:bCs/>
          <w:color w:val="000000"/>
          <w:kern w:val="0"/>
          <w:sz w:val="20"/>
          <w:szCs w:val="20"/>
          <w:lang w:eastAsia="cs-CZ"/>
          <w14:ligatures w14:val="none"/>
        </w:rPr>
        <w:br/>
      </w:r>
      <w:r w:rsidRPr="008C2B57">
        <w:rPr>
          <w:rFonts w:ascii="Arial" w:eastAsia="Times New Roman" w:hAnsi="Arial" w:cs="Arial"/>
          <w:color w:val="000000"/>
          <w:kern w:val="0"/>
          <w:sz w:val="20"/>
          <w:szCs w:val="20"/>
          <w:lang w:eastAsia="cs-CZ"/>
          <w14:ligatures w14:val="none"/>
        </w:rPr>
        <w:t xml:space="preserve">Home Credit a.s. je česká finanční společnost založená v roce 1997. Od roku 2023 je dceřinou společností Air Bank a.s., přičemž obě značky na trhu fungují samostatně. Home Credit poskytuje spotřebitelské financování včetně nákupů na splátky, hotovostních půjček, konsolidací, financování aut, podnikatelských úvěrů i operativního leasingu elektronických zařízení. Společnost je zapsaná u České národní banky jako platební instituce a nebankovní poskytovatel spotřebitelského úvěru. V Česku poskytl Home Credit v roce 2025 úvěry v celkové výši 21,2 miliardy korun a pravidelně se umisťuje v čele nebankovních společností v </w:t>
      </w:r>
      <w:hyperlink r:id="rId15" w:history="1">
        <w:r w:rsidRPr="008C2B57">
          <w:rPr>
            <w:rStyle w:val="Hypertextovodkaz"/>
            <w:rFonts w:ascii="Arial" w:eastAsia="Times New Roman" w:hAnsi="Arial" w:cs="Arial"/>
            <w:kern w:val="0"/>
            <w:sz w:val="20"/>
            <w:szCs w:val="20"/>
            <w:lang w:eastAsia="cs-CZ"/>
            <w14:ligatures w14:val="none"/>
          </w:rPr>
          <w:t>Indexu odpovědného úvěrování</w:t>
        </w:r>
      </w:hyperlink>
      <w:r w:rsidRPr="008C2B57">
        <w:rPr>
          <w:rFonts w:ascii="Arial" w:eastAsia="Times New Roman" w:hAnsi="Arial" w:cs="Arial"/>
          <w:color w:val="000000"/>
          <w:kern w:val="0"/>
          <w:sz w:val="20"/>
          <w:szCs w:val="20"/>
          <w:lang w:eastAsia="cs-CZ"/>
          <w14:ligatures w14:val="none"/>
        </w:rPr>
        <w:t xml:space="preserve"> organizace Člověk v tísni. Více na </w:t>
      </w:r>
      <w:hyperlink r:id="rId16" w:tgtFrame="_blank" w:history="1">
        <w:r w:rsidRPr="008C2B57">
          <w:rPr>
            <w:rStyle w:val="Hypertextovodkaz"/>
            <w:rFonts w:ascii="Arial" w:hAnsi="Arial" w:cs="Arial"/>
            <w:sz w:val="20"/>
            <w:szCs w:val="20"/>
          </w:rPr>
          <w:t>www.homecredit.cz</w:t>
        </w:r>
      </w:hyperlink>
    </w:p>
    <w:p w14:paraId="253374CD" w14:textId="54E317F6" w:rsidR="008C2B57" w:rsidRPr="005916E5" w:rsidRDefault="00353E03" w:rsidP="00353E03">
      <w:pPr>
        <w:rPr>
          <w:rFonts w:ascii="Arial" w:eastAsia="Times New Roman" w:hAnsi="Arial" w:cs="Arial"/>
          <w:b/>
          <w:bCs/>
          <w:color w:val="000000"/>
          <w:kern w:val="0"/>
          <w:sz w:val="20"/>
          <w:szCs w:val="20"/>
          <w:lang w:eastAsia="cs-CZ"/>
          <w14:ligatures w14:val="none"/>
        </w:rPr>
      </w:pPr>
      <w:r w:rsidRPr="00353E03">
        <w:rPr>
          <w:rFonts w:ascii="Arial" w:eastAsia="Times New Roman" w:hAnsi="Arial" w:cs="Arial"/>
          <w:b/>
          <w:bCs/>
          <w:color w:val="000000"/>
          <w:kern w:val="0"/>
          <w:sz w:val="20"/>
          <w:szCs w:val="20"/>
          <w:lang w:eastAsia="cs-CZ"/>
          <w14:ligatures w14:val="none"/>
        </w:rPr>
        <w:t>Skupina PPF </w:t>
      </w:r>
      <w:r w:rsidRPr="00353E03">
        <w:rPr>
          <w:rFonts w:ascii="Arial" w:eastAsia="Times New Roman" w:hAnsi="Arial" w:cs="Arial"/>
          <w:color w:val="000000"/>
          <w:kern w:val="0"/>
          <w:sz w:val="20"/>
          <w:szCs w:val="20"/>
          <w:lang w:eastAsia="cs-CZ"/>
          <w14:ligatures w14:val="none"/>
        </w:rPr>
        <w:t>je soukromý mezinárodní investiční holding s různorodým portfoliem aktiv. Působí ve 25 zemích a investuje v mnoha odvětvích, včetně telekomunikací, médií, finančních služeb, nemovitostí, strojírenství a e-commerce. Skupina vlastní aktiva ve výši 42,6 miliardy eur a celosvětově zaměstnává 37 tisíc lidí (k 31. prosinci 2025).</w:t>
      </w:r>
      <w:r w:rsidRPr="00353E03">
        <w:rPr>
          <w:rFonts w:ascii="Arial" w:eastAsia="Times New Roman" w:hAnsi="Arial" w:cs="Arial"/>
          <w:b/>
          <w:bCs/>
          <w:color w:val="000000"/>
          <w:kern w:val="0"/>
          <w:sz w:val="20"/>
          <w:szCs w:val="20"/>
          <w:lang w:eastAsia="cs-CZ"/>
          <w14:ligatures w14:val="none"/>
        </w:rPr>
        <w:t> </w:t>
      </w:r>
    </w:p>
    <w:sectPr w:rsidR="008C2B57" w:rsidRPr="005916E5" w:rsidSect="00A03809">
      <w:headerReference w:type="default" r:id="rId17"/>
      <w:footerReference w:type="even" r:id="rId18"/>
      <w:footerReference w:type="first" r:id="rId19"/>
      <w:pgSz w:w="11906" w:h="16838"/>
      <w:pgMar w:top="1682"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97A5" w14:textId="77777777" w:rsidR="003469C1" w:rsidRDefault="003469C1" w:rsidP="00DE7D53">
      <w:pPr>
        <w:spacing w:after="0" w:line="240" w:lineRule="auto"/>
      </w:pPr>
      <w:r>
        <w:separator/>
      </w:r>
    </w:p>
  </w:endnote>
  <w:endnote w:type="continuationSeparator" w:id="0">
    <w:p w14:paraId="118CEAC0" w14:textId="77777777" w:rsidR="003469C1" w:rsidRDefault="003469C1" w:rsidP="00DE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9A98" w14:textId="77777777" w:rsidR="005B650F" w:rsidRDefault="005B650F">
    <w:pPr>
      <w:pStyle w:val="Zpat"/>
    </w:pPr>
    <w:r>
      <w:rPr>
        <w:noProof/>
      </w:rPr>
      <mc:AlternateContent>
        <mc:Choice Requires="wps">
          <w:drawing>
            <wp:anchor distT="0" distB="0" distL="0" distR="0" simplePos="0" relativeHeight="251658243" behindDoc="0" locked="0" layoutInCell="1" allowOverlap="1" wp14:anchorId="0FE9C744" wp14:editId="168E316E">
              <wp:simplePos x="635" y="635"/>
              <wp:positionH relativeFrom="page">
                <wp:align>center</wp:align>
              </wp:positionH>
              <wp:positionV relativeFrom="page">
                <wp:align>bottom</wp:align>
              </wp:positionV>
              <wp:extent cx="443865" cy="443865"/>
              <wp:effectExtent l="0" t="0" r="6350" b="0"/>
              <wp:wrapNone/>
              <wp:docPr id="1532819178" name="Textové pole 8" descr="Klasifikační stupeň tohoto dokumentu je interní (Internal). Dokument je určen pro zaměstnance nebo spolupracovníky. Byl vytvořen a je vlastněn společností Home Credit a.s. / Home Credit Slovakia, a.s.">
                <a:extLst xmlns:a="http://schemas.openxmlformats.org/drawingml/2006/main">
                  <a:ext uri="{FF2B5EF4-FFF2-40B4-BE49-F238E27FC236}">
                    <a16:creationId xmlns:a16="http://schemas.microsoft.com/office/drawing/2014/main" id="{853B1437-6D20-475E-8508-C583854C85B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192291"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E9C744" id="_x0000_t202" coordsize="21600,21600" o:spt="202" path="m,l,21600r21600,l21600,xe">
              <v:stroke joinstyle="miter"/>
              <v:path gradientshapeok="t" o:connecttype="rect"/>
            </v:shapetype>
            <v:shape id="Textové pole 8" o:spid="_x0000_s1026" type="#_x0000_t202" alt="Klasifikační stupeň tohoto dokumentu je interní (Internal). Dokument je určen pro zaměstnance nebo spolupracovníky. Byl vytvořen a je vlastněn společností Home Credit a.s. / Home Credit Slovakia, a.s."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192291"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C1D4A" w14:textId="77777777" w:rsidR="005B650F" w:rsidRDefault="005B650F">
    <w:pPr>
      <w:pStyle w:val="Zpat"/>
    </w:pPr>
    <w:r>
      <w:rPr>
        <w:noProof/>
      </w:rPr>
      <mc:AlternateContent>
        <mc:Choice Requires="wps">
          <w:drawing>
            <wp:anchor distT="0" distB="0" distL="0" distR="0" simplePos="0" relativeHeight="251658242" behindDoc="0" locked="0" layoutInCell="1" allowOverlap="1" wp14:anchorId="680B0580" wp14:editId="09DEF6B7">
              <wp:simplePos x="635" y="635"/>
              <wp:positionH relativeFrom="page">
                <wp:align>center</wp:align>
              </wp:positionH>
              <wp:positionV relativeFrom="page">
                <wp:align>bottom</wp:align>
              </wp:positionV>
              <wp:extent cx="443865" cy="443865"/>
              <wp:effectExtent l="0" t="0" r="6350" b="0"/>
              <wp:wrapNone/>
              <wp:docPr id="1398170525" name="Textové pole 7" descr="Klasifikační stupeň tohoto dokumentu je interní (Internal). Dokument je určen pro zaměstnance nebo spolupracovníky. Byl vytvořen a je vlastněn společností Home Credit a.s. / Home Credit Slovakia, a.s.">
                <a:extLst xmlns:a="http://schemas.openxmlformats.org/drawingml/2006/main">
                  <a:ext uri="{FF2B5EF4-FFF2-40B4-BE49-F238E27FC236}">
                    <a16:creationId xmlns:a16="http://schemas.microsoft.com/office/drawing/2014/main" id="{498F7288-1FA0-4AE1-880D-0781C399A87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4FED2B"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0B0580" id="_x0000_t202" coordsize="21600,21600" o:spt="202" path="m,l,21600r21600,l21600,xe">
              <v:stroke joinstyle="miter"/>
              <v:path gradientshapeok="t" o:connecttype="rect"/>
            </v:shapetype>
            <v:shape id="Textové pole 7" o:spid="_x0000_s1027" type="#_x0000_t202" alt="Klasifikační stupeň tohoto dokumentu je interní (Internal). Dokument je určen pro zaměstnance nebo spolupracovníky. Byl vytvořen a je vlastněn společností Home Credit a.s. / Home Credit Slovakia, a.s."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04FED2B" w14:textId="77777777" w:rsidR="005B650F" w:rsidRPr="001556AB" w:rsidRDefault="005B650F" w:rsidP="001556AB">
                    <w:pPr>
                      <w:spacing w:after="0"/>
                      <w:rPr>
                        <w:rFonts w:ascii="Calibri" w:eastAsia="Calibri" w:hAnsi="Calibri" w:cs="Calibri"/>
                        <w:noProof/>
                        <w:color w:val="000000"/>
                        <w:sz w:val="16"/>
                        <w:szCs w:val="16"/>
                      </w:rPr>
                    </w:pPr>
                    <w:r w:rsidRPr="001556AB">
                      <w:rPr>
                        <w:rFonts w:ascii="Calibri" w:eastAsia="Calibri" w:hAnsi="Calibri" w:cs="Calibri"/>
                        <w:noProof/>
                        <w:color w:val="000000"/>
                        <w:sz w:val="16"/>
                        <w:szCs w:val="16"/>
                      </w:rPr>
                      <w:t>Klasifikační stupeň tohoto dokumentu je interní (Internal). Dokument je určen pro zaměstnance nebo spolupracovníky. Byl vytvořen a je vlastněn společností Home Credit a.s. / Home Credit Slovakia, 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B1B24" w14:textId="77777777" w:rsidR="003469C1" w:rsidRDefault="003469C1" w:rsidP="00DE7D53">
      <w:pPr>
        <w:spacing w:after="0" w:line="240" w:lineRule="auto"/>
      </w:pPr>
      <w:r>
        <w:separator/>
      </w:r>
    </w:p>
  </w:footnote>
  <w:footnote w:type="continuationSeparator" w:id="0">
    <w:p w14:paraId="2F711A36" w14:textId="77777777" w:rsidR="003469C1" w:rsidRDefault="003469C1" w:rsidP="00DE7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27C2" w14:textId="77777777" w:rsidR="005B650F" w:rsidRDefault="005B650F">
    <w:pPr>
      <w:pStyle w:val="Zhlav"/>
    </w:pPr>
    <w:r>
      <w:rPr>
        <w:noProof/>
      </w:rPr>
      <w:drawing>
        <wp:anchor distT="0" distB="0" distL="114300" distR="114300" simplePos="0" relativeHeight="251658240" behindDoc="0" locked="0" layoutInCell="1" allowOverlap="1" wp14:anchorId="405E8828" wp14:editId="059A3B21">
          <wp:simplePos x="0" y="0"/>
          <wp:positionH relativeFrom="column">
            <wp:posOffset>3214370</wp:posOffset>
          </wp:positionH>
          <wp:positionV relativeFrom="paragraph">
            <wp:posOffset>107950</wp:posOffset>
          </wp:positionV>
          <wp:extent cx="3431540" cy="289560"/>
          <wp:effectExtent l="0" t="0" r="0" b="0"/>
          <wp:wrapNone/>
          <wp:docPr id="911057066" name="Obrázek 911057066" descr="Obsah obrázku Písmo, Grafika, grafický design, text&#10;&#10;Popis byl vytvořen automaticky">
            <a:extLst xmlns:a="http://schemas.openxmlformats.org/drawingml/2006/main">
              <a:ext uri="{FF2B5EF4-FFF2-40B4-BE49-F238E27FC236}">
                <a16:creationId xmlns:a16="http://schemas.microsoft.com/office/drawing/2014/main" id="{E202A12B-4DEC-4652-B040-5064456957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80602" name="Obrázek 2" descr="Obsah obrázku Písmo, Grafika, grafický design, text&#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3431540" cy="289560"/>
                  </a:xfrm>
                  <a:prstGeom prst="rect">
                    <a:avLst/>
                  </a:prstGeom>
                </pic:spPr>
              </pic:pic>
            </a:graphicData>
          </a:graphic>
        </wp:anchor>
      </w:drawing>
    </w:r>
    <w:r>
      <w:rPr>
        <w:noProof/>
      </w:rPr>
      <w:drawing>
        <wp:anchor distT="0" distB="0" distL="114300" distR="114300" simplePos="0" relativeHeight="251658241" behindDoc="0" locked="0" layoutInCell="1" allowOverlap="1" wp14:anchorId="08DB173D" wp14:editId="5817461E">
          <wp:simplePos x="0" y="0"/>
          <wp:positionH relativeFrom="column">
            <wp:posOffset>-126365</wp:posOffset>
          </wp:positionH>
          <wp:positionV relativeFrom="paragraph">
            <wp:posOffset>-149860</wp:posOffset>
          </wp:positionV>
          <wp:extent cx="1136015" cy="781050"/>
          <wp:effectExtent l="0" t="0" r="0" b="0"/>
          <wp:wrapNone/>
          <wp:docPr id="1853721685" name="Obrázek 1853721685" descr="Obsah obrázku text, Písmo, Grafika, logo&#10;&#10;Popis byl vytvořen automaticky">
            <a:extLst xmlns:a="http://schemas.openxmlformats.org/drawingml/2006/main">
              <a:ext uri="{FF2B5EF4-FFF2-40B4-BE49-F238E27FC236}">
                <a16:creationId xmlns:a16="http://schemas.microsoft.com/office/drawing/2014/main" id="{08E95E48-1901-4412-8042-4CFAD787F0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83866" name="Obrázek 1" descr="Obsah obrázku text, Písmo, Grafika, logo&#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1136015" cy="78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404D9"/>
    <w:multiLevelType w:val="multilevel"/>
    <w:tmpl w:val="41B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8A6435"/>
    <w:multiLevelType w:val="hybridMultilevel"/>
    <w:tmpl w:val="34C03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EB51D55"/>
    <w:multiLevelType w:val="multilevel"/>
    <w:tmpl w:val="14F4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B0A39EB"/>
    <w:multiLevelType w:val="hybridMultilevel"/>
    <w:tmpl w:val="3FB8D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CE27877"/>
    <w:multiLevelType w:val="multilevel"/>
    <w:tmpl w:val="92FA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1A6A20"/>
    <w:multiLevelType w:val="multilevel"/>
    <w:tmpl w:val="3266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19825">
    <w:abstractNumId w:val="0"/>
  </w:num>
  <w:num w:numId="2" w16cid:durableId="1276407067">
    <w:abstractNumId w:val="2"/>
  </w:num>
  <w:num w:numId="3" w16cid:durableId="1790197705">
    <w:abstractNumId w:val="1"/>
  </w:num>
  <w:num w:numId="4" w16cid:durableId="566305748">
    <w:abstractNumId w:val="4"/>
  </w:num>
  <w:num w:numId="5" w16cid:durableId="647705055">
    <w:abstractNumId w:val="5"/>
  </w:num>
  <w:num w:numId="6" w16cid:durableId="767851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20"/>
    <w:rsid w:val="0000244D"/>
    <w:rsid w:val="00002687"/>
    <w:rsid w:val="0000392E"/>
    <w:rsid w:val="00004D35"/>
    <w:rsid w:val="00012217"/>
    <w:rsid w:val="00016DF7"/>
    <w:rsid w:val="00020001"/>
    <w:rsid w:val="0002283D"/>
    <w:rsid w:val="000258E4"/>
    <w:rsid w:val="00026914"/>
    <w:rsid w:val="000337EF"/>
    <w:rsid w:val="00035A92"/>
    <w:rsid w:val="000373B1"/>
    <w:rsid w:val="00041243"/>
    <w:rsid w:val="000417D3"/>
    <w:rsid w:val="00041F00"/>
    <w:rsid w:val="00044AF7"/>
    <w:rsid w:val="00044C8F"/>
    <w:rsid w:val="0005132D"/>
    <w:rsid w:val="000539C5"/>
    <w:rsid w:val="00054154"/>
    <w:rsid w:val="00054B71"/>
    <w:rsid w:val="00063BC3"/>
    <w:rsid w:val="00075B39"/>
    <w:rsid w:val="000761CD"/>
    <w:rsid w:val="00081425"/>
    <w:rsid w:val="00083A47"/>
    <w:rsid w:val="00084AAB"/>
    <w:rsid w:val="00090FE1"/>
    <w:rsid w:val="00092372"/>
    <w:rsid w:val="00096925"/>
    <w:rsid w:val="000A04B6"/>
    <w:rsid w:val="000A3A08"/>
    <w:rsid w:val="000A4663"/>
    <w:rsid w:val="000A5E03"/>
    <w:rsid w:val="000A6ABF"/>
    <w:rsid w:val="000B0FBC"/>
    <w:rsid w:val="000B19B8"/>
    <w:rsid w:val="000B29CD"/>
    <w:rsid w:val="000B5D5E"/>
    <w:rsid w:val="000B7A25"/>
    <w:rsid w:val="000C001E"/>
    <w:rsid w:val="000C0BB7"/>
    <w:rsid w:val="000C22A8"/>
    <w:rsid w:val="000C2C2E"/>
    <w:rsid w:val="000C53E3"/>
    <w:rsid w:val="000C7E9D"/>
    <w:rsid w:val="000D2C21"/>
    <w:rsid w:val="000D31E6"/>
    <w:rsid w:val="000D3788"/>
    <w:rsid w:val="000D3B99"/>
    <w:rsid w:val="000D5279"/>
    <w:rsid w:val="000E0144"/>
    <w:rsid w:val="000E05BD"/>
    <w:rsid w:val="000E1992"/>
    <w:rsid w:val="000F1F4F"/>
    <w:rsid w:val="000F3FCE"/>
    <w:rsid w:val="000F64CE"/>
    <w:rsid w:val="000F71D4"/>
    <w:rsid w:val="0010054A"/>
    <w:rsid w:val="00101381"/>
    <w:rsid w:val="00103331"/>
    <w:rsid w:val="001035E6"/>
    <w:rsid w:val="001063A4"/>
    <w:rsid w:val="00110034"/>
    <w:rsid w:val="00110F41"/>
    <w:rsid w:val="001113A9"/>
    <w:rsid w:val="00111E28"/>
    <w:rsid w:val="00115E04"/>
    <w:rsid w:val="0011735A"/>
    <w:rsid w:val="00117D66"/>
    <w:rsid w:val="00121611"/>
    <w:rsid w:val="0012172D"/>
    <w:rsid w:val="0012215D"/>
    <w:rsid w:val="001222C8"/>
    <w:rsid w:val="001244B4"/>
    <w:rsid w:val="001266E5"/>
    <w:rsid w:val="00131669"/>
    <w:rsid w:val="00131B2B"/>
    <w:rsid w:val="0013375F"/>
    <w:rsid w:val="00135AA2"/>
    <w:rsid w:val="00136325"/>
    <w:rsid w:val="001365AD"/>
    <w:rsid w:val="00136B54"/>
    <w:rsid w:val="0014524A"/>
    <w:rsid w:val="00147DC4"/>
    <w:rsid w:val="0015151F"/>
    <w:rsid w:val="001530D1"/>
    <w:rsid w:val="001556AB"/>
    <w:rsid w:val="00161C38"/>
    <w:rsid w:val="00162A6F"/>
    <w:rsid w:val="00164228"/>
    <w:rsid w:val="00165CE6"/>
    <w:rsid w:val="00165D3D"/>
    <w:rsid w:val="00167615"/>
    <w:rsid w:val="00170205"/>
    <w:rsid w:val="00170CF0"/>
    <w:rsid w:val="00172890"/>
    <w:rsid w:val="00173438"/>
    <w:rsid w:val="001811A9"/>
    <w:rsid w:val="00181DBE"/>
    <w:rsid w:val="00182DDB"/>
    <w:rsid w:val="00182F4B"/>
    <w:rsid w:val="00183A2B"/>
    <w:rsid w:val="001871D7"/>
    <w:rsid w:val="00191927"/>
    <w:rsid w:val="0019344D"/>
    <w:rsid w:val="00194F9D"/>
    <w:rsid w:val="00195E17"/>
    <w:rsid w:val="001A0765"/>
    <w:rsid w:val="001A235F"/>
    <w:rsid w:val="001A2E20"/>
    <w:rsid w:val="001A49E1"/>
    <w:rsid w:val="001A6EDF"/>
    <w:rsid w:val="001A7C35"/>
    <w:rsid w:val="001B10AE"/>
    <w:rsid w:val="001B12A8"/>
    <w:rsid w:val="001B225F"/>
    <w:rsid w:val="001B3F2A"/>
    <w:rsid w:val="001B50F6"/>
    <w:rsid w:val="001B78A0"/>
    <w:rsid w:val="001B7AA7"/>
    <w:rsid w:val="001C1327"/>
    <w:rsid w:val="001C4660"/>
    <w:rsid w:val="001C5957"/>
    <w:rsid w:val="001C6040"/>
    <w:rsid w:val="001C7A1D"/>
    <w:rsid w:val="001D104B"/>
    <w:rsid w:val="001D3D28"/>
    <w:rsid w:val="001E27A0"/>
    <w:rsid w:val="001E348C"/>
    <w:rsid w:val="001E7531"/>
    <w:rsid w:val="001F1948"/>
    <w:rsid w:val="001F2521"/>
    <w:rsid w:val="001F41E4"/>
    <w:rsid w:val="001F694E"/>
    <w:rsid w:val="001F77FD"/>
    <w:rsid w:val="001F7812"/>
    <w:rsid w:val="002000C4"/>
    <w:rsid w:val="0020241D"/>
    <w:rsid w:val="00202BE6"/>
    <w:rsid w:val="002052E4"/>
    <w:rsid w:val="00205555"/>
    <w:rsid w:val="0021127D"/>
    <w:rsid w:val="00211EE7"/>
    <w:rsid w:val="002156FE"/>
    <w:rsid w:val="0021669F"/>
    <w:rsid w:val="0022129B"/>
    <w:rsid w:val="00224302"/>
    <w:rsid w:val="0022446E"/>
    <w:rsid w:val="00225811"/>
    <w:rsid w:val="00226F70"/>
    <w:rsid w:val="0023131F"/>
    <w:rsid w:val="002314AD"/>
    <w:rsid w:val="002326D8"/>
    <w:rsid w:val="002359C7"/>
    <w:rsid w:val="00236158"/>
    <w:rsid w:val="0023644E"/>
    <w:rsid w:val="00237B2A"/>
    <w:rsid w:val="0024362A"/>
    <w:rsid w:val="00245094"/>
    <w:rsid w:val="00245DC6"/>
    <w:rsid w:val="002544FA"/>
    <w:rsid w:val="0025743D"/>
    <w:rsid w:val="002604DF"/>
    <w:rsid w:val="0026234C"/>
    <w:rsid w:val="00262C96"/>
    <w:rsid w:val="002642D3"/>
    <w:rsid w:val="00266661"/>
    <w:rsid w:val="00272F4A"/>
    <w:rsid w:val="002844EA"/>
    <w:rsid w:val="002876F9"/>
    <w:rsid w:val="00290C0F"/>
    <w:rsid w:val="00291DC0"/>
    <w:rsid w:val="00294FB4"/>
    <w:rsid w:val="00296212"/>
    <w:rsid w:val="00296AD5"/>
    <w:rsid w:val="002A1861"/>
    <w:rsid w:val="002A2377"/>
    <w:rsid w:val="002A32E7"/>
    <w:rsid w:val="002A5531"/>
    <w:rsid w:val="002A6FCB"/>
    <w:rsid w:val="002A76BA"/>
    <w:rsid w:val="002A77E0"/>
    <w:rsid w:val="002B0D44"/>
    <w:rsid w:val="002B319F"/>
    <w:rsid w:val="002B53D7"/>
    <w:rsid w:val="002B5B3A"/>
    <w:rsid w:val="002C3986"/>
    <w:rsid w:val="002C3FF5"/>
    <w:rsid w:val="002C6E10"/>
    <w:rsid w:val="002D2303"/>
    <w:rsid w:val="002D2A86"/>
    <w:rsid w:val="002D4B81"/>
    <w:rsid w:val="002D4D76"/>
    <w:rsid w:val="002D65F4"/>
    <w:rsid w:val="002D6D8C"/>
    <w:rsid w:val="002E2686"/>
    <w:rsid w:val="002E2CB5"/>
    <w:rsid w:val="002E2FAD"/>
    <w:rsid w:val="002E3987"/>
    <w:rsid w:val="002E51E9"/>
    <w:rsid w:val="002E6C4A"/>
    <w:rsid w:val="002F056B"/>
    <w:rsid w:val="002F098B"/>
    <w:rsid w:val="002F241C"/>
    <w:rsid w:val="002F4050"/>
    <w:rsid w:val="00302A4F"/>
    <w:rsid w:val="00303465"/>
    <w:rsid w:val="003059A4"/>
    <w:rsid w:val="003069BB"/>
    <w:rsid w:val="00307C51"/>
    <w:rsid w:val="00307D82"/>
    <w:rsid w:val="00310A8B"/>
    <w:rsid w:val="003117BA"/>
    <w:rsid w:val="003128AF"/>
    <w:rsid w:val="00312F08"/>
    <w:rsid w:val="00314160"/>
    <w:rsid w:val="00315FA7"/>
    <w:rsid w:val="00316CC9"/>
    <w:rsid w:val="00317157"/>
    <w:rsid w:val="00320909"/>
    <w:rsid w:val="003213C4"/>
    <w:rsid w:val="00326BE4"/>
    <w:rsid w:val="00327066"/>
    <w:rsid w:val="0032749F"/>
    <w:rsid w:val="003311FF"/>
    <w:rsid w:val="00332C5C"/>
    <w:rsid w:val="0033303C"/>
    <w:rsid w:val="003469C1"/>
    <w:rsid w:val="003505E6"/>
    <w:rsid w:val="00351D5A"/>
    <w:rsid w:val="00353E03"/>
    <w:rsid w:val="00354458"/>
    <w:rsid w:val="00356DC3"/>
    <w:rsid w:val="003634D0"/>
    <w:rsid w:val="00364758"/>
    <w:rsid w:val="00364E9E"/>
    <w:rsid w:val="003655F3"/>
    <w:rsid w:val="00365FCD"/>
    <w:rsid w:val="00367C84"/>
    <w:rsid w:val="003713EA"/>
    <w:rsid w:val="00372355"/>
    <w:rsid w:val="00373133"/>
    <w:rsid w:val="00382865"/>
    <w:rsid w:val="003860BC"/>
    <w:rsid w:val="00386D40"/>
    <w:rsid w:val="00387627"/>
    <w:rsid w:val="003901A5"/>
    <w:rsid w:val="0039201C"/>
    <w:rsid w:val="003930FB"/>
    <w:rsid w:val="0039411C"/>
    <w:rsid w:val="003967BA"/>
    <w:rsid w:val="003968C9"/>
    <w:rsid w:val="003973A5"/>
    <w:rsid w:val="003A1C72"/>
    <w:rsid w:val="003A2397"/>
    <w:rsid w:val="003B009D"/>
    <w:rsid w:val="003B0754"/>
    <w:rsid w:val="003B094A"/>
    <w:rsid w:val="003B3FAE"/>
    <w:rsid w:val="003C19FD"/>
    <w:rsid w:val="003C29C2"/>
    <w:rsid w:val="003C47AA"/>
    <w:rsid w:val="003C65C1"/>
    <w:rsid w:val="003C7FAB"/>
    <w:rsid w:val="003D0D93"/>
    <w:rsid w:val="003D23D6"/>
    <w:rsid w:val="003E0040"/>
    <w:rsid w:val="003E19CE"/>
    <w:rsid w:val="003E1B33"/>
    <w:rsid w:val="003F0436"/>
    <w:rsid w:val="003F05FB"/>
    <w:rsid w:val="003F27EB"/>
    <w:rsid w:val="003F4E81"/>
    <w:rsid w:val="003F4F0D"/>
    <w:rsid w:val="003F505F"/>
    <w:rsid w:val="003F661D"/>
    <w:rsid w:val="004001A4"/>
    <w:rsid w:val="00400BE9"/>
    <w:rsid w:val="00400EF4"/>
    <w:rsid w:val="00403EB6"/>
    <w:rsid w:val="00404151"/>
    <w:rsid w:val="00404DB5"/>
    <w:rsid w:val="00404EF8"/>
    <w:rsid w:val="00414E86"/>
    <w:rsid w:val="0041762A"/>
    <w:rsid w:val="0042019A"/>
    <w:rsid w:val="00421CDF"/>
    <w:rsid w:val="00422E59"/>
    <w:rsid w:val="00425B0E"/>
    <w:rsid w:val="004268CC"/>
    <w:rsid w:val="00430160"/>
    <w:rsid w:val="00432E51"/>
    <w:rsid w:val="00435015"/>
    <w:rsid w:val="00437CC2"/>
    <w:rsid w:val="0044015A"/>
    <w:rsid w:val="00445BF3"/>
    <w:rsid w:val="00446683"/>
    <w:rsid w:val="004504CE"/>
    <w:rsid w:val="00454966"/>
    <w:rsid w:val="0045639E"/>
    <w:rsid w:val="004566A5"/>
    <w:rsid w:val="0046033E"/>
    <w:rsid w:val="00462A38"/>
    <w:rsid w:val="00471228"/>
    <w:rsid w:val="004849A2"/>
    <w:rsid w:val="004910E7"/>
    <w:rsid w:val="00493267"/>
    <w:rsid w:val="00493AF9"/>
    <w:rsid w:val="004943FA"/>
    <w:rsid w:val="004A3DC4"/>
    <w:rsid w:val="004A45AC"/>
    <w:rsid w:val="004A66D6"/>
    <w:rsid w:val="004B0AF7"/>
    <w:rsid w:val="004B6DDA"/>
    <w:rsid w:val="004B72E1"/>
    <w:rsid w:val="004C0CFA"/>
    <w:rsid w:val="004C334E"/>
    <w:rsid w:val="004C355F"/>
    <w:rsid w:val="004C3C3E"/>
    <w:rsid w:val="004C6C1F"/>
    <w:rsid w:val="004D10C8"/>
    <w:rsid w:val="004D1F42"/>
    <w:rsid w:val="004D28BF"/>
    <w:rsid w:val="004D5741"/>
    <w:rsid w:val="004D6F1A"/>
    <w:rsid w:val="004D72C0"/>
    <w:rsid w:val="004E18B2"/>
    <w:rsid w:val="004E5886"/>
    <w:rsid w:val="004E5E5C"/>
    <w:rsid w:val="004E7E5B"/>
    <w:rsid w:val="004F0168"/>
    <w:rsid w:val="004F1206"/>
    <w:rsid w:val="004F1870"/>
    <w:rsid w:val="005037BA"/>
    <w:rsid w:val="00510DA7"/>
    <w:rsid w:val="0051263C"/>
    <w:rsid w:val="005139B3"/>
    <w:rsid w:val="00514A90"/>
    <w:rsid w:val="00516B28"/>
    <w:rsid w:val="00523021"/>
    <w:rsid w:val="00524624"/>
    <w:rsid w:val="00524D3C"/>
    <w:rsid w:val="0052534B"/>
    <w:rsid w:val="00525C02"/>
    <w:rsid w:val="005303FB"/>
    <w:rsid w:val="00534B99"/>
    <w:rsid w:val="00534CB3"/>
    <w:rsid w:val="0054152E"/>
    <w:rsid w:val="00541703"/>
    <w:rsid w:val="00543532"/>
    <w:rsid w:val="00543611"/>
    <w:rsid w:val="00543E57"/>
    <w:rsid w:val="00544DF6"/>
    <w:rsid w:val="00546084"/>
    <w:rsid w:val="005469CC"/>
    <w:rsid w:val="00550CDD"/>
    <w:rsid w:val="00551898"/>
    <w:rsid w:val="0055401D"/>
    <w:rsid w:val="005561EB"/>
    <w:rsid w:val="00556BF8"/>
    <w:rsid w:val="00556F7C"/>
    <w:rsid w:val="0056158D"/>
    <w:rsid w:val="00563E1B"/>
    <w:rsid w:val="005663A1"/>
    <w:rsid w:val="00572084"/>
    <w:rsid w:val="0057209D"/>
    <w:rsid w:val="005734F3"/>
    <w:rsid w:val="005756AF"/>
    <w:rsid w:val="00575FD0"/>
    <w:rsid w:val="005811C8"/>
    <w:rsid w:val="00581693"/>
    <w:rsid w:val="0058582E"/>
    <w:rsid w:val="005859CD"/>
    <w:rsid w:val="00585B84"/>
    <w:rsid w:val="005873E9"/>
    <w:rsid w:val="00590B13"/>
    <w:rsid w:val="005916E5"/>
    <w:rsid w:val="00594705"/>
    <w:rsid w:val="00596578"/>
    <w:rsid w:val="005A5D0F"/>
    <w:rsid w:val="005A7444"/>
    <w:rsid w:val="005A778F"/>
    <w:rsid w:val="005A7DDA"/>
    <w:rsid w:val="005B0325"/>
    <w:rsid w:val="005B1CAC"/>
    <w:rsid w:val="005B1D83"/>
    <w:rsid w:val="005B38A7"/>
    <w:rsid w:val="005B650F"/>
    <w:rsid w:val="005B7767"/>
    <w:rsid w:val="005C196F"/>
    <w:rsid w:val="005C3632"/>
    <w:rsid w:val="005D0C48"/>
    <w:rsid w:val="005D2446"/>
    <w:rsid w:val="005D3948"/>
    <w:rsid w:val="005D6E4F"/>
    <w:rsid w:val="005E028B"/>
    <w:rsid w:val="005E07F2"/>
    <w:rsid w:val="005E1038"/>
    <w:rsid w:val="005E1413"/>
    <w:rsid w:val="005E5941"/>
    <w:rsid w:val="005F2275"/>
    <w:rsid w:val="0060061C"/>
    <w:rsid w:val="00606387"/>
    <w:rsid w:val="00613A9E"/>
    <w:rsid w:val="00615345"/>
    <w:rsid w:val="00616F14"/>
    <w:rsid w:val="00617004"/>
    <w:rsid w:val="006204A5"/>
    <w:rsid w:val="00620663"/>
    <w:rsid w:val="00621753"/>
    <w:rsid w:val="0063006A"/>
    <w:rsid w:val="00641764"/>
    <w:rsid w:val="0064200B"/>
    <w:rsid w:val="0064387C"/>
    <w:rsid w:val="00647933"/>
    <w:rsid w:val="00650202"/>
    <w:rsid w:val="0065147B"/>
    <w:rsid w:val="006532E9"/>
    <w:rsid w:val="00654725"/>
    <w:rsid w:val="00656581"/>
    <w:rsid w:val="00660955"/>
    <w:rsid w:val="00661E56"/>
    <w:rsid w:val="0066601A"/>
    <w:rsid w:val="00666EE8"/>
    <w:rsid w:val="00670252"/>
    <w:rsid w:val="00677F64"/>
    <w:rsid w:val="00681027"/>
    <w:rsid w:val="00682667"/>
    <w:rsid w:val="0068436B"/>
    <w:rsid w:val="00684A65"/>
    <w:rsid w:val="00685538"/>
    <w:rsid w:val="00697F7E"/>
    <w:rsid w:val="006A0182"/>
    <w:rsid w:val="006A6572"/>
    <w:rsid w:val="006B6C0F"/>
    <w:rsid w:val="006B75B1"/>
    <w:rsid w:val="006B7D31"/>
    <w:rsid w:val="006C2E5F"/>
    <w:rsid w:val="006C5D1C"/>
    <w:rsid w:val="006C723B"/>
    <w:rsid w:val="006D0801"/>
    <w:rsid w:val="006D1217"/>
    <w:rsid w:val="006D25C3"/>
    <w:rsid w:val="006D431B"/>
    <w:rsid w:val="006D6575"/>
    <w:rsid w:val="006D6618"/>
    <w:rsid w:val="006D7375"/>
    <w:rsid w:val="006E3835"/>
    <w:rsid w:val="006E655C"/>
    <w:rsid w:val="006F12D6"/>
    <w:rsid w:val="006F63B1"/>
    <w:rsid w:val="006F65BD"/>
    <w:rsid w:val="0070048D"/>
    <w:rsid w:val="0070290F"/>
    <w:rsid w:val="00704474"/>
    <w:rsid w:val="00704A9F"/>
    <w:rsid w:val="007078EA"/>
    <w:rsid w:val="00707C77"/>
    <w:rsid w:val="00714D56"/>
    <w:rsid w:val="00716EE3"/>
    <w:rsid w:val="00720028"/>
    <w:rsid w:val="00720FC1"/>
    <w:rsid w:val="00727F45"/>
    <w:rsid w:val="00733CF4"/>
    <w:rsid w:val="00735A31"/>
    <w:rsid w:val="00735BC8"/>
    <w:rsid w:val="00740AD3"/>
    <w:rsid w:val="00742359"/>
    <w:rsid w:val="007431A0"/>
    <w:rsid w:val="00745144"/>
    <w:rsid w:val="00751F38"/>
    <w:rsid w:val="007551B9"/>
    <w:rsid w:val="00757F21"/>
    <w:rsid w:val="00762620"/>
    <w:rsid w:val="00764DB7"/>
    <w:rsid w:val="00767612"/>
    <w:rsid w:val="0077175D"/>
    <w:rsid w:val="00771B59"/>
    <w:rsid w:val="00772D42"/>
    <w:rsid w:val="007748A3"/>
    <w:rsid w:val="00774C47"/>
    <w:rsid w:val="00776C4C"/>
    <w:rsid w:val="00784092"/>
    <w:rsid w:val="00785884"/>
    <w:rsid w:val="007903F7"/>
    <w:rsid w:val="007905DB"/>
    <w:rsid w:val="0079196C"/>
    <w:rsid w:val="00792AC3"/>
    <w:rsid w:val="007961F4"/>
    <w:rsid w:val="00796ECA"/>
    <w:rsid w:val="007A341A"/>
    <w:rsid w:val="007A45C6"/>
    <w:rsid w:val="007A556C"/>
    <w:rsid w:val="007A6E3C"/>
    <w:rsid w:val="007B10AF"/>
    <w:rsid w:val="007B1A28"/>
    <w:rsid w:val="007B4121"/>
    <w:rsid w:val="007B56E0"/>
    <w:rsid w:val="007B6154"/>
    <w:rsid w:val="007D21AE"/>
    <w:rsid w:val="007D54DB"/>
    <w:rsid w:val="007D7EAF"/>
    <w:rsid w:val="007E2A6B"/>
    <w:rsid w:val="007E5E30"/>
    <w:rsid w:val="007E6B18"/>
    <w:rsid w:val="007F1C60"/>
    <w:rsid w:val="007F7191"/>
    <w:rsid w:val="007F792E"/>
    <w:rsid w:val="00802685"/>
    <w:rsid w:val="00803758"/>
    <w:rsid w:val="00803AE5"/>
    <w:rsid w:val="008075EE"/>
    <w:rsid w:val="0081072B"/>
    <w:rsid w:val="00812165"/>
    <w:rsid w:val="0081416D"/>
    <w:rsid w:val="008147F4"/>
    <w:rsid w:val="008148F6"/>
    <w:rsid w:val="0081541E"/>
    <w:rsid w:val="00815E20"/>
    <w:rsid w:val="00816F96"/>
    <w:rsid w:val="00817773"/>
    <w:rsid w:val="00817A9D"/>
    <w:rsid w:val="00820262"/>
    <w:rsid w:val="0083144D"/>
    <w:rsid w:val="00833372"/>
    <w:rsid w:val="00833544"/>
    <w:rsid w:val="00835436"/>
    <w:rsid w:val="00836312"/>
    <w:rsid w:val="0084345C"/>
    <w:rsid w:val="00843E91"/>
    <w:rsid w:val="00844448"/>
    <w:rsid w:val="00850B01"/>
    <w:rsid w:val="0085288B"/>
    <w:rsid w:val="00853F95"/>
    <w:rsid w:val="00856C18"/>
    <w:rsid w:val="00857320"/>
    <w:rsid w:val="0086088F"/>
    <w:rsid w:val="008656DB"/>
    <w:rsid w:val="00866C2B"/>
    <w:rsid w:val="00867B46"/>
    <w:rsid w:val="00867CB2"/>
    <w:rsid w:val="00871837"/>
    <w:rsid w:val="00881842"/>
    <w:rsid w:val="00882CD2"/>
    <w:rsid w:val="0088529B"/>
    <w:rsid w:val="00885FAB"/>
    <w:rsid w:val="00886B2A"/>
    <w:rsid w:val="00895C37"/>
    <w:rsid w:val="00895F09"/>
    <w:rsid w:val="0089636F"/>
    <w:rsid w:val="0089638D"/>
    <w:rsid w:val="00896A1A"/>
    <w:rsid w:val="00896DE3"/>
    <w:rsid w:val="008971C3"/>
    <w:rsid w:val="008A3711"/>
    <w:rsid w:val="008A38A5"/>
    <w:rsid w:val="008A4A31"/>
    <w:rsid w:val="008A695D"/>
    <w:rsid w:val="008B2127"/>
    <w:rsid w:val="008B7C91"/>
    <w:rsid w:val="008C0429"/>
    <w:rsid w:val="008C0ECA"/>
    <w:rsid w:val="008C1403"/>
    <w:rsid w:val="008C1914"/>
    <w:rsid w:val="008C20C7"/>
    <w:rsid w:val="008C2B57"/>
    <w:rsid w:val="008C3C45"/>
    <w:rsid w:val="008C4172"/>
    <w:rsid w:val="008D04B2"/>
    <w:rsid w:val="008D3A0F"/>
    <w:rsid w:val="008D6501"/>
    <w:rsid w:val="008E1876"/>
    <w:rsid w:val="008E22CE"/>
    <w:rsid w:val="008E5391"/>
    <w:rsid w:val="008F1713"/>
    <w:rsid w:val="008F21D3"/>
    <w:rsid w:val="008F55A8"/>
    <w:rsid w:val="008F5727"/>
    <w:rsid w:val="008F6B5F"/>
    <w:rsid w:val="0090549C"/>
    <w:rsid w:val="0091476E"/>
    <w:rsid w:val="009174DC"/>
    <w:rsid w:val="00917F57"/>
    <w:rsid w:val="00920F72"/>
    <w:rsid w:val="00921120"/>
    <w:rsid w:val="009240EE"/>
    <w:rsid w:val="0092628E"/>
    <w:rsid w:val="009273F4"/>
    <w:rsid w:val="00932E40"/>
    <w:rsid w:val="009357D7"/>
    <w:rsid w:val="009371B7"/>
    <w:rsid w:val="00944522"/>
    <w:rsid w:val="0094585E"/>
    <w:rsid w:val="009515EB"/>
    <w:rsid w:val="00951CE3"/>
    <w:rsid w:val="00954ED4"/>
    <w:rsid w:val="0095712E"/>
    <w:rsid w:val="00960D95"/>
    <w:rsid w:val="00960F8E"/>
    <w:rsid w:val="00961946"/>
    <w:rsid w:val="00961E03"/>
    <w:rsid w:val="0096243A"/>
    <w:rsid w:val="00963B37"/>
    <w:rsid w:val="00965505"/>
    <w:rsid w:val="009658D5"/>
    <w:rsid w:val="009835B1"/>
    <w:rsid w:val="00984063"/>
    <w:rsid w:val="00986EC5"/>
    <w:rsid w:val="0098744A"/>
    <w:rsid w:val="009906A1"/>
    <w:rsid w:val="00996015"/>
    <w:rsid w:val="0099635D"/>
    <w:rsid w:val="00997068"/>
    <w:rsid w:val="00997964"/>
    <w:rsid w:val="00997B60"/>
    <w:rsid w:val="009A04FC"/>
    <w:rsid w:val="009A3EF4"/>
    <w:rsid w:val="009A472D"/>
    <w:rsid w:val="009A665B"/>
    <w:rsid w:val="009A7D51"/>
    <w:rsid w:val="009B0351"/>
    <w:rsid w:val="009B07B4"/>
    <w:rsid w:val="009B3C47"/>
    <w:rsid w:val="009B3DF7"/>
    <w:rsid w:val="009B6D65"/>
    <w:rsid w:val="009C344B"/>
    <w:rsid w:val="009C36B0"/>
    <w:rsid w:val="009C4E97"/>
    <w:rsid w:val="009C585B"/>
    <w:rsid w:val="009C66DE"/>
    <w:rsid w:val="009C690C"/>
    <w:rsid w:val="009D3FFE"/>
    <w:rsid w:val="009D4583"/>
    <w:rsid w:val="009D4F20"/>
    <w:rsid w:val="009D68E3"/>
    <w:rsid w:val="009D6F2B"/>
    <w:rsid w:val="009E07AE"/>
    <w:rsid w:val="009E1E0F"/>
    <w:rsid w:val="009E2803"/>
    <w:rsid w:val="009E3C9E"/>
    <w:rsid w:val="009E4365"/>
    <w:rsid w:val="009E7550"/>
    <w:rsid w:val="009F01EF"/>
    <w:rsid w:val="009F0962"/>
    <w:rsid w:val="009F14A6"/>
    <w:rsid w:val="009F1796"/>
    <w:rsid w:val="009F225D"/>
    <w:rsid w:val="009F433C"/>
    <w:rsid w:val="009F54A7"/>
    <w:rsid w:val="009F5D55"/>
    <w:rsid w:val="009F7272"/>
    <w:rsid w:val="00A010A9"/>
    <w:rsid w:val="00A01EE8"/>
    <w:rsid w:val="00A03809"/>
    <w:rsid w:val="00A0548F"/>
    <w:rsid w:val="00A10C0A"/>
    <w:rsid w:val="00A124A3"/>
    <w:rsid w:val="00A1318A"/>
    <w:rsid w:val="00A14350"/>
    <w:rsid w:val="00A15960"/>
    <w:rsid w:val="00A21C38"/>
    <w:rsid w:val="00A22F9F"/>
    <w:rsid w:val="00A24321"/>
    <w:rsid w:val="00A26ECB"/>
    <w:rsid w:val="00A27BD5"/>
    <w:rsid w:val="00A3190D"/>
    <w:rsid w:val="00A342C6"/>
    <w:rsid w:val="00A349BF"/>
    <w:rsid w:val="00A368FF"/>
    <w:rsid w:val="00A37817"/>
    <w:rsid w:val="00A42CEE"/>
    <w:rsid w:val="00A55E20"/>
    <w:rsid w:val="00A55EAF"/>
    <w:rsid w:val="00A561F3"/>
    <w:rsid w:val="00A5716A"/>
    <w:rsid w:val="00A6191A"/>
    <w:rsid w:val="00A636C5"/>
    <w:rsid w:val="00A715BA"/>
    <w:rsid w:val="00A77916"/>
    <w:rsid w:val="00A83A35"/>
    <w:rsid w:val="00A840D2"/>
    <w:rsid w:val="00A8411C"/>
    <w:rsid w:val="00A90F29"/>
    <w:rsid w:val="00A928A4"/>
    <w:rsid w:val="00A93537"/>
    <w:rsid w:val="00A9547D"/>
    <w:rsid w:val="00A965D8"/>
    <w:rsid w:val="00AA6022"/>
    <w:rsid w:val="00AA630C"/>
    <w:rsid w:val="00AA6CCB"/>
    <w:rsid w:val="00AA742E"/>
    <w:rsid w:val="00AB4050"/>
    <w:rsid w:val="00AB514F"/>
    <w:rsid w:val="00AC0554"/>
    <w:rsid w:val="00AC0804"/>
    <w:rsid w:val="00AC3A72"/>
    <w:rsid w:val="00AC441B"/>
    <w:rsid w:val="00AC6A1B"/>
    <w:rsid w:val="00AD1231"/>
    <w:rsid w:val="00AD419A"/>
    <w:rsid w:val="00AD60CB"/>
    <w:rsid w:val="00AE1EB8"/>
    <w:rsid w:val="00AE29A4"/>
    <w:rsid w:val="00AE529C"/>
    <w:rsid w:val="00AF04F9"/>
    <w:rsid w:val="00B038A8"/>
    <w:rsid w:val="00B0580D"/>
    <w:rsid w:val="00B12C1A"/>
    <w:rsid w:val="00B13578"/>
    <w:rsid w:val="00B13FFB"/>
    <w:rsid w:val="00B14837"/>
    <w:rsid w:val="00B170F3"/>
    <w:rsid w:val="00B25C9D"/>
    <w:rsid w:val="00B26453"/>
    <w:rsid w:val="00B27F15"/>
    <w:rsid w:val="00B3294C"/>
    <w:rsid w:val="00B335D9"/>
    <w:rsid w:val="00B35565"/>
    <w:rsid w:val="00B41CD6"/>
    <w:rsid w:val="00B53471"/>
    <w:rsid w:val="00B549A6"/>
    <w:rsid w:val="00B620D9"/>
    <w:rsid w:val="00B633AA"/>
    <w:rsid w:val="00B63600"/>
    <w:rsid w:val="00B65C70"/>
    <w:rsid w:val="00B66551"/>
    <w:rsid w:val="00B67508"/>
    <w:rsid w:val="00B67638"/>
    <w:rsid w:val="00B71F65"/>
    <w:rsid w:val="00B750BC"/>
    <w:rsid w:val="00B754C4"/>
    <w:rsid w:val="00B77112"/>
    <w:rsid w:val="00B8075C"/>
    <w:rsid w:val="00B82773"/>
    <w:rsid w:val="00B82787"/>
    <w:rsid w:val="00B83DC9"/>
    <w:rsid w:val="00B84072"/>
    <w:rsid w:val="00B9320A"/>
    <w:rsid w:val="00B932EC"/>
    <w:rsid w:val="00B94024"/>
    <w:rsid w:val="00B94B0B"/>
    <w:rsid w:val="00B94CD7"/>
    <w:rsid w:val="00B95AE3"/>
    <w:rsid w:val="00BA2788"/>
    <w:rsid w:val="00BC5F7F"/>
    <w:rsid w:val="00BC7A2D"/>
    <w:rsid w:val="00BD082F"/>
    <w:rsid w:val="00BD3E94"/>
    <w:rsid w:val="00BD4513"/>
    <w:rsid w:val="00BD4F40"/>
    <w:rsid w:val="00BD7A83"/>
    <w:rsid w:val="00BE33E3"/>
    <w:rsid w:val="00BF243D"/>
    <w:rsid w:val="00BF4136"/>
    <w:rsid w:val="00C078DE"/>
    <w:rsid w:val="00C079FE"/>
    <w:rsid w:val="00C109B5"/>
    <w:rsid w:val="00C11EB7"/>
    <w:rsid w:val="00C1268F"/>
    <w:rsid w:val="00C150B2"/>
    <w:rsid w:val="00C16689"/>
    <w:rsid w:val="00C21B6A"/>
    <w:rsid w:val="00C22AA5"/>
    <w:rsid w:val="00C261FB"/>
    <w:rsid w:val="00C26D68"/>
    <w:rsid w:val="00C3052A"/>
    <w:rsid w:val="00C35815"/>
    <w:rsid w:val="00C41702"/>
    <w:rsid w:val="00C434FD"/>
    <w:rsid w:val="00C43927"/>
    <w:rsid w:val="00C47B05"/>
    <w:rsid w:val="00C51332"/>
    <w:rsid w:val="00C535F1"/>
    <w:rsid w:val="00C54947"/>
    <w:rsid w:val="00C55260"/>
    <w:rsid w:val="00C56742"/>
    <w:rsid w:val="00C57276"/>
    <w:rsid w:val="00C631CF"/>
    <w:rsid w:val="00C66BAF"/>
    <w:rsid w:val="00C66CF6"/>
    <w:rsid w:val="00C716A0"/>
    <w:rsid w:val="00C7193A"/>
    <w:rsid w:val="00C72498"/>
    <w:rsid w:val="00C73EF0"/>
    <w:rsid w:val="00C74534"/>
    <w:rsid w:val="00C8139E"/>
    <w:rsid w:val="00C82FC4"/>
    <w:rsid w:val="00C82FCC"/>
    <w:rsid w:val="00C85534"/>
    <w:rsid w:val="00C91644"/>
    <w:rsid w:val="00C91EC2"/>
    <w:rsid w:val="00C93665"/>
    <w:rsid w:val="00C976CF"/>
    <w:rsid w:val="00C978EA"/>
    <w:rsid w:val="00CA5187"/>
    <w:rsid w:val="00CA5D26"/>
    <w:rsid w:val="00CB0D5A"/>
    <w:rsid w:val="00CB4122"/>
    <w:rsid w:val="00CB5800"/>
    <w:rsid w:val="00CC2ED1"/>
    <w:rsid w:val="00CC397B"/>
    <w:rsid w:val="00CC4D12"/>
    <w:rsid w:val="00CC56FF"/>
    <w:rsid w:val="00CC5C32"/>
    <w:rsid w:val="00CD0756"/>
    <w:rsid w:val="00CD0F5D"/>
    <w:rsid w:val="00CD1A32"/>
    <w:rsid w:val="00CD24F8"/>
    <w:rsid w:val="00CD3053"/>
    <w:rsid w:val="00CD3BF1"/>
    <w:rsid w:val="00CD3DFF"/>
    <w:rsid w:val="00CD4AD4"/>
    <w:rsid w:val="00CD59AB"/>
    <w:rsid w:val="00CE1061"/>
    <w:rsid w:val="00CE3174"/>
    <w:rsid w:val="00CE67C7"/>
    <w:rsid w:val="00CF190D"/>
    <w:rsid w:val="00CF1DD1"/>
    <w:rsid w:val="00CF21D7"/>
    <w:rsid w:val="00CF69D8"/>
    <w:rsid w:val="00CF78F2"/>
    <w:rsid w:val="00D00084"/>
    <w:rsid w:val="00D0152B"/>
    <w:rsid w:val="00D028C5"/>
    <w:rsid w:val="00D051DE"/>
    <w:rsid w:val="00D102A0"/>
    <w:rsid w:val="00D14A80"/>
    <w:rsid w:val="00D15319"/>
    <w:rsid w:val="00D21717"/>
    <w:rsid w:val="00D250D1"/>
    <w:rsid w:val="00D3119D"/>
    <w:rsid w:val="00D32261"/>
    <w:rsid w:val="00D32D98"/>
    <w:rsid w:val="00D346A4"/>
    <w:rsid w:val="00D35953"/>
    <w:rsid w:val="00D37A46"/>
    <w:rsid w:val="00D45127"/>
    <w:rsid w:val="00D5134B"/>
    <w:rsid w:val="00D51C1B"/>
    <w:rsid w:val="00D5576F"/>
    <w:rsid w:val="00D60C02"/>
    <w:rsid w:val="00D614C5"/>
    <w:rsid w:val="00D617D9"/>
    <w:rsid w:val="00D65780"/>
    <w:rsid w:val="00D66198"/>
    <w:rsid w:val="00D66E49"/>
    <w:rsid w:val="00D67261"/>
    <w:rsid w:val="00D6755F"/>
    <w:rsid w:val="00D7046F"/>
    <w:rsid w:val="00D70D45"/>
    <w:rsid w:val="00D722CA"/>
    <w:rsid w:val="00D74735"/>
    <w:rsid w:val="00D767C8"/>
    <w:rsid w:val="00D76CE7"/>
    <w:rsid w:val="00D775BE"/>
    <w:rsid w:val="00D8009E"/>
    <w:rsid w:val="00D800B8"/>
    <w:rsid w:val="00D80B48"/>
    <w:rsid w:val="00D80C44"/>
    <w:rsid w:val="00D82AEF"/>
    <w:rsid w:val="00D83371"/>
    <w:rsid w:val="00D8526A"/>
    <w:rsid w:val="00D90477"/>
    <w:rsid w:val="00D932D4"/>
    <w:rsid w:val="00DA082B"/>
    <w:rsid w:val="00DB092E"/>
    <w:rsid w:val="00DB0EF2"/>
    <w:rsid w:val="00DB2DFD"/>
    <w:rsid w:val="00DB5EE5"/>
    <w:rsid w:val="00DB62C6"/>
    <w:rsid w:val="00DB7831"/>
    <w:rsid w:val="00DC325F"/>
    <w:rsid w:val="00DD1E42"/>
    <w:rsid w:val="00DD3887"/>
    <w:rsid w:val="00DD4F39"/>
    <w:rsid w:val="00DD50EF"/>
    <w:rsid w:val="00DD525C"/>
    <w:rsid w:val="00DD5462"/>
    <w:rsid w:val="00DD5CDF"/>
    <w:rsid w:val="00DD6D4B"/>
    <w:rsid w:val="00DD758E"/>
    <w:rsid w:val="00DE0DFB"/>
    <w:rsid w:val="00DE7D53"/>
    <w:rsid w:val="00DF229C"/>
    <w:rsid w:val="00DF2C93"/>
    <w:rsid w:val="00DF3A62"/>
    <w:rsid w:val="00DF6FD3"/>
    <w:rsid w:val="00DF7904"/>
    <w:rsid w:val="00E05399"/>
    <w:rsid w:val="00E07E37"/>
    <w:rsid w:val="00E1005A"/>
    <w:rsid w:val="00E147EE"/>
    <w:rsid w:val="00E1520F"/>
    <w:rsid w:val="00E1611C"/>
    <w:rsid w:val="00E16E8C"/>
    <w:rsid w:val="00E16EE7"/>
    <w:rsid w:val="00E17F54"/>
    <w:rsid w:val="00E20C5B"/>
    <w:rsid w:val="00E21530"/>
    <w:rsid w:val="00E217C0"/>
    <w:rsid w:val="00E22504"/>
    <w:rsid w:val="00E325C4"/>
    <w:rsid w:val="00E3641A"/>
    <w:rsid w:val="00E43A08"/>
    <w:rsid w:val="00E51009"/>
    <w:rsid w:val="00E53C8F"/>
    <w:rsid w:val="00E54185"/>
    <w:rsid w:val="00E546FF"/>
    <w:rsid w:val="00E54867"/>
    <w:rsid w:val="00E5580A"/>
    <w:rsid w:val="00E55F56"/>
    <w:rsid w:val="00E56E46"/>
    <w:rsid w:val="00E56FB9"/>
    <w:rsid w:val="00E57023"/>
    <w:rsid w:val="00E5712C"/>
    <w:rsid w:val="00E6587E"/>
    <w:rsid w:val="00E66B06"/>
    <w:rsid w:val="00E67A45"/>
    <w:rsid w:val="00E70B2D"/>
    <w:rsid w:val="00E71696"/>
    <w:rsid w:val="00E724D1"/>
    <w:rsid w:val="00E72691"/>
    <w:rsid w:val="00E727D4"/>
    <w:rsid w:val="00E82733"/>
    <w:rsid w:val="00E83EA0"/>
    <w:rsid w:val="00E84866"/>
    <w:rsid w:val="00E86314"/>
    <w:rsid w:val="00E86F51"/>
    <w:rsid w:val="00E974A2"/>
    <w:rsid w:val="00EA0A96"/>
    <w:rsid w:val="00EA3A92"/>
    <w:rsid w:val="00EA5BD4"/>
    <w:rsid w:val="00EA5F69"/>
    <w:rsid w:val="00EB382B"/>
    <w:rsid w:val="00EB4C76"/>
    <w:rsid w:val="00EB55D6"/>
    <w:rsid w:val="00EC20D6"/>
    <w:rsid w:val="00EC2C86"/>
    <w:rsid w:val="00EC487E"/>
    <w:rsid w:val="00EC4E34"/>
    <w:rsid w:val="00EC6389"/>
    <w:rsid w:val="00EC6B35"/>
    <w:rsid w:val="00ED01B0"/>
    <w:rsid w:val="00ED196C"/>
    <w:rsid w:val="00ED240A"/>
    <w:rsid w:val="00ED2E24"/>
    <w:rsid w:val="00ED59F9"/>
    <w:rsid w:val="00ED6635"/>
    <w:rsid w:val="00ED6C99"/>
    <w:rsid w:val="00ED6CB5"/>
    <w:rsid w:val="00EE0A0A"/>
    <w:rsid w:val="00EE3565"/>
    <w:rsid w:val="00EE3EC8"/>
    <w:rsid w:val="00EE65D5"/>
    <w:rsid w:val="00EF1825"/>
    <w:rsid w:val="00EF2577"/>
    <w:rsid w:val="00F01475"/>
    <w:rsid w:val="00F07703"/>
    <w:rsid w:val="00F112C0"/>
    <w:rsid w:val="00F161B3"/>
    <w:rsid w:val="00F255AB"/>
    <w:rsid w:val="00F26057"/>
    <w:rsid w:val="00F30C27"/>
    <w:rsid w:val="00F32E24"/>
    <w:rsid w:val="00F40227"/>
    <w:rsid w:val="00F41E34"/>
    <w:rsid w:val="00F42FFD"/>
    <w:rsid w:val="00F5046B"/>
    <w:rsid w:val="00F50C9D"/>
    <w:rsid w:val="00F5278C"/>
    <w:rsid w:val="00F537A0"/>
    <w:rsid w:val="00F55B8D"/>
    <w:rsid w:val="00F57A4D"/>
    <w:rsid w:val="00F61106"/>
    <w:rsid w:val="00F63000"/>
    <w:rsid w:val="00F642BA"/>
    <w:rsid w:val="00F71E5A"/>
    <w:rsid w:val="00F729A1"/>
    <w:rsid w:val="00F73958"/>
    <w:rsid w:val="00F746FE"/>
    <w:rsid w:val="00F762B5"/>
    <w:rsid w:val="00F76BEE"/>
    <w:rsid w:val="00F77C6C"/>
    <w:rsid w:val="00F77EF8"/>
    <w:rsid w:val="00F802A4"/>
    <w:rsid w:val="00F81D42"/>
    <w:rsid w:val="00F90356"/>
    <w:rsid w:val="00F9300D"/>
    <w:rsid w:val="00F93E10"/>
    <w:rsid w:val="00F93FFC"/>
    <w:rsid w:val="00F95512"/>
    <w:rsid w:val="00F96659"/>
    <w:rsid w:val="00F97331"/>
    <w:rsid w:val="00FA02A8"/>
    <w:rsid w:val="00FA34C3"/>
    <w:rsid w:val="00FA42C4"/>
    <w:rsid w:val="00FA4969"/>
    <w:rsid w:val="00FA5223"/>
    <w:rsid w:val="00FA766F"/>
    <w:rsid w:val="00FB1800"/>
    <w:rsid w:val="00FB5810"/>
    <w:rsid w:val="00FB6809"/>
    <w:rsid w:val="00FC078A"/>
    <w:rsid w:val="00FC138D"/>
    <w:rsid w:val="00FC4D93"/>
    <w:rsid w:val="00FC6C38"/>
    <w:rsid w:val="00FC6FF0"/>
    <w:rsid w:val="00FC7170"/>
    <w:rsid w:val="00FD0931"/>
    <w:rsid w:val="00FD1826"/>
    <w:rsid w:val="00FD1EAD"/>
    <w:rsid w:val="00FD5B13"/>
    <w:rsid w:val="00FE0A41"/>
    <w:rsid w:val="00FE1AAA"/>
    <w:rsid w:val="00FE457B"/>
    <w:rsid w:val="00FE4C34"/>
    <w:rsid w:val="00FE56C4"/>
    <w:rsid w:val="00FE6DA1"/>
    <w:rsid w:val="00FF0E68"/>
    <w:rsid w:val="00FF18C8"/>
    <w:rsid w:val="00FF3C53"/>
    <w:rsid w:val="00FF5C44"/>
    <w:rsid w:val="118433A2"/>
    <w:rsid w:val="13A90253"/>
    <w:rsid w:val="19CD2F52"/>
    <w:rsid w:val="19EA21F9"/>
    <w:rsid w:val="1A40505E"/>
    <w:rsid w:val="1C44157D"/>
    <w:rsid w:val="2611A5E9"/>
    <w:rsid w:val="26F29DF7"/>
    <w:rsid w:val="28DFCDC6"/>
    <w:rsid w:val="29C02DDB"/>
    <w:rsid w:val="2D6C94B6"/>
    <w:rsid w:val="307B1A98"/>
    <w:rsid w:val="30C6170A"/>
    <w:rsid w:val="32D9799A"/>
    <w:rsid w:val="32FE1FDB"/>
    <w:rsid w:val="36B01913"/>
    <w:rsid w:val="371C579F"/>
    <w:rsid w:val="3D52BF7A"/>
    <w:rsid w:val="40F12C28"/>
    <w:rsid w:val="437B9EB7"/>
    <w:rsid w:val="461E0DF0"/>
    <w:rsid w:val="49787770"/>
    <w:rsid w:val="4C5B0AD4"/>
    <w:rsid w:val="4CE05F99"/>
    <w:rsid w:val="5363E79C"/>
    <w:rsid w:val="578D0DAD"/>
    <w:rsid w:val="5F0815FA"/>
    <w:rsid w:val="604049B4"/>
    <w:rsid w:val="647DD74F"/>
    <w:rsid w:val="6D3BCC60"/>
    <w:rsid w:val="7566E682"/>
    <w:rsid w:val="79DC1B69"/>
    <w:rsid w:val="7FDCBF53"/>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49B60"/>
  <w15:chartTrackingRefBased/>
  <w15:docId w15:val="{9907A0AD-01A2-4C15-B18A-486E201A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732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Zhlav">
    <w:name w:val="header"/>
    <w:basedOn w:val="Normln"/>
    <w:link w:val="ZhlavChar"/>
    <w:uiPriority w:val="99"/>
    <w:unhideWhenUsed/>
    <w:rsid w:val="00DE7D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E7D53"/>
  </w:style>
  <w:style w:type="paragraph" w:styleId="Zpat">
    <w:name w:val="footer"/>
    <w:basedOn w:val="Normln"/>
    <w:link w:val="ZpatChar"/>
    <w:uiPriority w:val="99"/>
    <w:unhideWhenUsed/>
    <w:rsid w:val="00DE7D53"/>
    <w:pPr>
      <w:tabs>
        <w:tab w:val="center" w:pos="4536"/>
        <w:tab w:val="right" w:pos="9072"/>
      </w:tabs>
      <w:spacing w:after="0" w:line="240" w:lineRule="auto"/>
    </w:pPr>
  </w:style>
  <w:style w:type="character" w:customStyle="1" w:styleId="ZpatChar">
    <w:name w:val="Zápatí Char"/>
    <w:basedOn w:val="Standardnpsmoodstavce"/>
    <w:link w:val="Zpat"/>
    <w:uiPriority w:val="99"/>
    <w:rsid w:val="00DE7D53"/>
  </w:style>
  <w:style w:type="character" w:styleId="Hypertextovodkaz">
    <w:name w:val="Hyperlink"/>
    <w:basedOn w:val="Standardnpsmoodstavce"/>
    <w:uiPriority w:val="99"/>
    <w:unhideWhenUsed/>
    <w:rsid w:val="00DE7D53"/>
    <w:rPr>
      <w:color w:val="0563C1" w:themeColor="hyperlink"/>
      <w:u w:val="single"/>
    </w:rPr>
  </w:style>
  <w:style w:type="character" w:styleId="Nevyeenzmnka">
    <w:name w:val="Unresolved Mention"/>
    <w:basedOn w:val="Standardnpsmoodstavce"/>
    <w:uiPriority w:val="99"/>
    <w:semiHidden/>
    <w:unhideWhenUsed/>
    <w:rsid w:val="00DE7D53"/>
    <w:rPr>
      <w:color w:val="605E5C"/>
      <w:shd w:val="clear" w:color="auto" w:fill="E1DFDD"/>
    </w:rPr>
  </w:style>
  <w:style w:type="paragraph" w:styleId="Revize">
    <w:name w:val="Revision"/>
    <w:hidden/>
    <w:uiPriority w:val="99"/>
    <w:semiHidden/>
    <w:rsid w:val="00857320"/>
    <w:pPr>
      <w:spacing w:after="0" w:line="240" w:lineRule="auto"/>
    </w:pPr>
  </w:style>
  <w:style w:type="character" w:customStyle="1" w:styleId="CommentReference1">
    <w:name w:val="Comment Reference1"/>
    <w:basedOn w:val="Standardnpsmoodstavce"/>
    <w:uiPriority w:val="99"/>
    <w:semiHidden/>
    <w:unhideWhenUsed/>
    <w:rsid w:val="009F14A6"/>
    <w:rPr>
      <w:sz w:val="16"/>
      <w:szCs w:val="16"/>
    </w:rPr>
  </w:style>
  <w:style w:type="paragraph" w:customStyle="1" w:styleId="CommentText1">
    <w:name w:val="Comment Text1"/>
    <w:basedOn w:val="Normln"/>
    <w:link w:val="CommentTextChar"/>
    <w:uiPriority w:val="99"/>
    <w:unhideWhenUsed/>
    <w:rsid w:val="009F14A6"/>
    <w:pPr>
      <w:spacing w:line="240" w:lineRule="auto"/>
    </w:pPr>
    <w:rPr>
      <w:sz w:val="20"/>
      <w:szCs w:val="20"/>
    </w:rPr>
  </w:style>
  <w:style w:type="character" w:customStyle="1" w:styleId="CommentTextChar">
    <w:name w:val="Comment Text Char"/>
    <w:basedOn w:val="Standardnpsmoodstavce"/>
    <w:link w:val="CommentText1"/>
    <w:uiPriority w:val="99"/>
    <w:rsid w:val="009F14A6"/>
    <w:rPr>
      <w:sz w:val="20"/>
      <w:szCs w:val="20"/>
    </w:rPr>
  </w:style>
  <w:style w:type="paragraph" w:customStyle="1" w:styleId="CommentSubject1">
    <w:name w:val="Comment Subject1"/>
    <w:basedOn w:val="CommentText1"/>
    <w:next w:val="CommentText1"/>
    <w:link w:val="CommentSubjectChar"/>
    <w:uiPriority w:val="99"/>
    <w:semiHidden/>
    <w:unhideWhenUsed/>
    <w:rsid w:val="009F14A6"/>
    <w:rPr>
      <w:b/>
      <w:bCs/>
    </w:rPr>
  </w:style>
  <w:style w:type="character" w:customStyle="1" w:styleId="CommentSubjectChar">
    <w:name w:val="Comment Subject Char"/>
    <w:basedOn w:val="CommentTextChar"/>
    <w:link w:val="CommentSubject1"/>
    <w:uiPriority w:val="99"/>
    <w:semiHidden/>
    <w:rsid w:val="009F14A6"/>
    <w:rPr>
      <w:b/>
      <w:bCs/>
      <w:sz w:val="20"/>
      <w:szCs w:val="20"/>
    </w:rPr>
  </w:style>
  <w:style w:type="paragraph" w:styleId="Bezmezer">
    <w:name w:val="No Spacing"/>
    <w:uiPriority w:val="1"/>
    <w:qFormat/>
    <w:rsid w:val="00762620"/>
    <w:pPr>
      <w:spacing w:after="0" w:line="240" w:lineRule="auto"/>
    </w:pPr>
  </w:style>
  <w:style w:type="paragraph" w:customStyle="1" w:styleId="CommentText">
    <w:name w:val="Comment Text"/>
    <w:basedOn w:val="Normln"/>
    <w:link w:val="CommentTextChar1"/>
    <w:uiPriority w:val="99"/>
    <w:semiHidden/>
    <w:unhideWhenUsed/>
    <w:pPr>
      <w:spacing w:line="240" w:lineRule="auto"/>
    </w:pPr>
    <w:rPr>
      <w:sz w:val="20"/>
      <w:szCs w:val="20"/>
    </w:rPr>
  </w:style>
  <w:style w:type="character" w:customStyle="1" w:styleId="CommentTextChar1">
    <w:name w:val="Comment Text Char1"/>
    <w:basedOn w:val="Standardnpsmoodstavce"/>
    <w:link w:val="CommentText"/>
    <w:uiPriority w:val="99"/>
    <w:semiHidden/>
    <w:rPr>
      <w:sz w:val="20"/>
      <w:szCs w:val="20"/>
    </w:rPr>
  </w:style>
  <w:style w:type="character" w:customStyle="1" w:styleId="CommentReference">
    <w:name w:val="Comment Reference"/>
    <w:basedOn w:val="Standardnpsmoodstavce"/>
    <w:uiPriority w:val="99"/>
    <w:semiHidden/>
    <w:unhideWhenUsed/>
    <w:rPr>
      <w:sz w:val="16"/>
      <w:szCs w:val="16"/>
    </w:rPr>
  </w:style>
  <w:style w:type="table" w:styleId="Prosttabulka1">
    <w:name w:val="Plain Table 1"/>
    <w:basedOn w:val="TableNormal"/>
    <w:uiPriority w:val="41"/>
    <w:rsid w:val="008C2B57"/>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mmentSubject">
    <w:name w:val="Comment Subject"/>
    <w:basedOn w:val="CommentText"/>
    <w:next w:val="CommentText"/>
    <w:link w:val="CommentSubjectChar1"/>
    <w:uiPriority w:val="99"/>
    <w:semiHidden/>
    <w:unhideWhenUsed/>
    <w:rsid w:val="00303465"/>
    <w:rPr>
      <w:b/>
      <w:bCs/>
    </w:rPr>
  </w:style>
  <w:style w:type="character" w:customStyle="1" w:styleId="CommentSubjectChar1">
    <w:name w:val="Comment Subject Char1"/>
    <w:basedOn w:val="CommentTextChar1"/>
    <w:link w:val="CommentSubject"/>
    <w:uiPriority w:val="99"/>
    <w:semiHidden/>
    <w:rsid w:val="00303465"/>
    <w:rPr>
      <w:b/>
      <w:bCs/>
      <w:sz w:val="20"/>
      <w:szCs w:val="20"/>
    </w:rPr>
  </w:style>
  <w:style w:type="table" w:styleId="Mkatabulky">
    <w:name w:val="Table Grid"/>
    <w:basedOn w:val="TableNormal"/>
    <w:uiPriority w:val="39"/>
    <w:rsid w:val="00B8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E3C9E"/>
    <w:pPr>
      <w:ind w:left="720"/>
      <w:contextualSpacing/>
    </w:pPr>
  </w:style>
  <w:style w:type="character" w:styleId="Odkaznakoment">
    <w:name w:val="annotation reference"/>
    <w:basedOn w:val="Standardnpsmoodstavce"/>
    <w:uiPriority w:val="99"/>
    <w:semiHidden/>
    <w:unhideWhenUsed/>
    <w:rsid w:val="00296AD5"/>
    <w:rPr>
      <w:sz w:val="16"/>
      <w:szCs w:val="16"/>
    </w:rPr>
  </w:style>
  <w:style w:type="paragraph" w:styleId="Textkomente">
    <w:name w:val="annotation text"/>
    <w:basedOn w:val="Normln"/>
    <w:link w:val="TextkomenteChar"/>
    <w:uiPriority w:val="99"/>
    <w:unhideWhenUsed/>
    <w:rsid w:val="00296AD5"/>
    <w:pPr>
      <w:spacing w:line="240" w:lineRule="auto"/>
    </w:pPr>
    <w:rPr>
      <w:sz w:val="20"/>
      <w:szCs w:val="20"/>
    </w:rPr>
  </w:style>
  <w:style w:type="character" w:customStyle="1" w:styleId="TextkomenteChar">
    <w:name w:val="Text komentáře Char"/>
    <w:basedOn w:val="Standardnpsmoodstavce"/>
    <w:link w:val="Textkomente"/>
    <w:uiPriority w:val="99"/>
    <w:rsid w:val="00296AD5"/>
    <w:rPr>
      <w:sz w:val="20"/>
      <w:szCs w:val="20"/>
    </w:rPr>
  </w:style>
  <w:style w:type="paragraph" w:styleId="Pedmtkomente">
    <w:name w:val="annotation subject"/>
    <w:basedOn w:val="Textkomente"/>
    <w:next w:val="Textkomente"/>
    <w:link w:val="PedmtkomenteChar"/>
    <w:uiPriority w:val="99"/>
    <w:semiHidden/>
    <w:unhideWhenUsed/>
    <w:rsid w:val="00296AD5"/>
    <w:rPr>
      <w:b/>
      <w:bCs/>
    </w:rPr>
  </w:style>
  <w:style w:type="character" w:customStyle="1" w:styleId="PedmtkomenteChar">
    <w:name w:val="Předmět komentáře Char"/>
    <w:basedOn w:val="TextkomenteChar"/>
    <w:link w:val="Pedmtkomente"/>
    <w:uiPriority w:val="99"/>
    <w:semiHidden/>
    <w:rsid w:val="00296AD5"/>
    <w:rPr>
      <w:b/>
      <w:bCs/>
      <w:sz w:val="20"/>
      <w:szCs w:val="20"/>
    </w:rPr>
  </w:style>
  <w:style w:type="paragraph" w:styleId="Normlnweb">
    <w:name w:val="Normal (Web)"/>
    <w:basedOn w:val="Normln"/>
    <w:uiPriority w:val="99"/>
    <w:semiHidden/>
    <w:unhideWhenUsed/>
    <w:rsid w:val="00191927"/>
    <w:rPr>
      <w:rFonts w:ascii="Times New Roman" w:hAnsi="Times New Roman" w:cs="Times New Roman"/>
      <w:sz w:val="24"/>
      <w:szCs w:val="24"/>
    </w:rPr>
  </w:style>
  <w:style w:type="paragraph" w:customStyle="1" w:styleId="pb-2">
    <w:name w:val="pb-2"/>
    <w:basedOn w:val="Normln"/>
    <w:rsid w:val="00D775B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8744">
      <w:bodyDiv w:val="1"/>
      <w:marLeft w:val="0"/>
      <w:marRight w:val="0"/>
      <w:marTop w:val="0"/>
      <w:marBottom w:val="0"/>
      <w:divBdr>
        <w:top w:val="none" w:sz="0" w:space="0" w:color="auto"/>
        <w:left w:val="none" w:sz="0" w:space="0" w:color="auto"/>
        <w:bottom w:val="none" w:sz="0" w:space="0" w:color="auto"/>
        <w:right w:val="none" w:sz="0" w:space="0" w:color="auto"/>
      </w:divBdr>
    </w:div>
    <w:div w:id="443771157">
      <w:bodyDiv w:val="1"/>
      <w:marLeft w:val="0"/>
      <w:marRight w:val="0"/>
      <w:marTop w:val="0"/>
      <w:marBottom w:val="0"/>
      <w:divBdr>
        <w:top w:val="none" w:sz="0" w:space="0" w:color="auto"/>
        <w:left w:val="none" w:sz="0" w:space="0" w:color="auto"/>
        <w:bottom w:val="none" w:sz="0" w:space="0" w:color="auto"/>
        <w:right w:val="none" w:sz="0" w:space="0" w:color="auto"/>
      </w:divBdr>
    </w:div>
    <w:div w:id="458112858">
      <w:bodyDiv w:val="1"/>
      <w:marLeft w:val="0"/>
      <w:marRight w:val="0"/>
      <w:marTop w:val="0"/>
      <w:marBottom w:val="0"/>
      <w:divBdr>
        <w:top w:val="none" w:sz="0" w:space="0" w:color="auto"/>
        <w:left w:val="none" w:sz="0" w:space="0" w:color="auto"/>
        <w:bottom w:val="none" w:sz="0" w:space="0" w:color="auto"/>
        <w:right w:val="none" w:sz="0" w:space="0" w:color="auto"/>
      </w:divBdr>
      <w:divsChild>
        <w:div w:id="1647124088">
          <w:marLeft w:val="0"/>
          <w:marRight w:val="0"/>
          <w:marTop w:val="0"/>
          <w:marBottom w:val="0"/>
          <w:divBdr>
            <w:top w:val="none" w:sz="0" w:space="0" w:color="auto"/>
            <w:left w:val="none" w:sz="0" w:space="0" w:color="auto"/>
            <w:bottom w:val="none" w:sz="0" w:space="0" w:color="auto"/>
            <w:right w:val="none" w:sz="0" w:space="0" w:color="auto"/>
          </w:divBdr>
        </w:div>
        <w:div w:id="2006009374">
          <w:marLeft w:val="0"/>
          <w:marRight w:val="0"/>
          <w:marTop w:val="0"/>
          <w:marBottom w:val="0"/>
          <w:divBdr>
            <w:top w:val="none" w:sz="0" w:space="0" w:color="auto"/>
            <w:left w:val="none" w:sz="0" w:space="0" w:color="auto"/>
            <w:bottom w:val="none" w:sz="0" w:space="0" w:color="auto"/>
            <w:right w:val="none" w:sz="0" w:space="0" w:color="auto"/>
          </w:divBdr>
        </w:div>
        <w:div w:id="2118597218">
          <w:marLeft w:val="0"/>
          <w:marRight w:val="0"/>
          <w:marTop w:val="0"/>
          <w:marBottom w:val="0"/>
          <w:divBdr>
            <w:top w:val="none" w:sz="0" w:space="0" w:color="auto"/>
            <w:left w:val="none" w:sz="0" w:space="0" w:color="auto"/>
            <w:bottom w:val="none" w:sz="0" w:space="0" w:color="auto"/>
            <w:right w:val="none" w:sz="0" w:space="0" w:color="auto"/>
          </w:divBdr>
          <w:divsChild>
            <w:div w:id="146684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70030">
      <w:bodyDiv w:val="1"/>
      <w:marLeft w:val="0"/>
      <w:marRight w:val="0"/>
      <w:marTop w:val="0"/>
      <w:marBottom w:val="0"/>
      <w:divBdr>
        <w:top w:val="none" w:sz="0" w:space="0" w:color="auto"/>
        <w:left w:val="none" w:sz="0" w:space="0" w:color="auto"/>
        <w:bottom w:val="none" w:sz="0" w:space="0" w:color="auto"/>
        <w:right w:val="none" w:sz="0" w:space="0" w:color="auto"/>
      </w:divBdr>
    </w:div>
    <w:div w:id="659040762">
      <w:bodyDiv w:val="1"/>
      <w:marLeft w:val="0"/>
      <w:marRight w:val="0"/>
      <w:marTop w:val="0"/>
      <w:marBottom w:val="0"/>
      <w:divBdr>
        <w:top w:val="none" w:sz="0" w:space="0" w:color="auto"/>
        <w:left w:val="none" w:sz="0" w:space="0" w:color="auto"/>
        <w:bottom w:val="none" w:sz="0" w:space="0" w:color="auto"/>
        <w:right w:val="none" w:sz="0" w:space="0" w:color="auto"/>
      </w:divBdr>
      <w:divsChild>
        <w:div w:id="883103949">
          <w:marLeft w:val="0"/>
          <w:marRight w:val="0"/>
          <w:marTop w:val="0"/>
          <w:marBottom w:val="0"/>
          <w:divBdr>
            <w:top w:val="none" w:sz="0" w:space="0" w:color="auto"/>
            <w:left w:val="none" w:sz="0" w:space="0" w:color="auto"/>
            <w:bottom w:val="none" w:sz="0" w:space="0" w:color="auto"/>
            <w:right w:val="none" w:sz="0" w:space="0" w:color="auto"/>
          </w:divBdr>
          <w:divsChild>
            <w:div w:id="1119880170">
              <w:marLeft w:val="0"/>
              <w:marRight w:val="0"/>
              <w:marTop w:val="0"/>
              <w:marBottom w:val="0"/>
              <w:divBdr>
                <w:top w:val="none" w:sz="0" w:space="0" w:color="auto"/>
                <w:left w:val="none" w:sz="0" w:space="0" w:color="auto"/>
                <w:bottom w:val="none" w:sz="0" w:space="0" w:color="auto"/>
                <w:right w:val="none" w:sz="0" w:space="0" w:color="auto"/>
              </w:divBdr>
            </w:div>
          </w:divsChild>
        </w:div>
        <w:div w:id="1254162753">
          <w:marLeft w:val="0"/>
          <w:marRight w:val="0"/>
          <w:marTop w:val="0"/>
          <w:marBottom w:val="0"/>
          <w:divBdr>
            <w:top w:val="none" w:sz="0" w:space="0" w:color="auto"/>
            <w:left w:val="none" w:sz="0" w:space="0" w:color="auto"/>
            <w:bottom w:val="none" w:sz="0" w:space="0" w:color="auto"/>
            <w:right w:val="none" w:sz="0" w:space="0" w:color="auto"/>
          </w:divBdr>
        </w:div>
        <w:div w:id="2089040485">
          <w:marLeft w:val="0"/>
          <w:marRight w:val="0"/>
          <w:marTop w:val="0"/>
          <w:marBottom w:val="0"/>
          <w:divBdr>
            <w:top w:val="none" w:sz="0" w:space="0" w:color="auto"/>
            <w:left w:val="none" w:sz="0" w:space="0" w:color="auto"/>
            <w:bottom w:val="none" w:sz="0" w:space="0" w:color="auto"/>
            <w:right w:val="none" w:sz="0" w:space="0" w:color="auto"/>
          </w:divBdr>
        </w:div>
      </w:divsChild>
    </w:div>
    <w:div w:id="729500848">
      <w:bodyDiv w:val="1"/>
      <w:marLeft w:val="0"/>
      <w:marRight w:val="0"/>
      <w:marTop w:val="0"/>
      <w:marBottom w:val="0"/>
      <w:divBdr>
        <w:top w:val="none" w:sz="0" w:space="0" w:color="auto"/>
        <w:left w:val="none" w:sz="0" w:space="0" w:color="auto"/>
        <w:bottom w:val="none" w:sz="0" w:space="0" w:color="auto"/>
        <w:right w:val="none" w:sz="0" w:space="0" w:color="auto"/>
      </w:divBdr>
    </w:div>
    <w:div w:id="1030381272">
      <w:bodyDiv w:val="1"/>
      <w:marLeft w:val="0"/>
      <w:marRight w:val="0"/>
      <w:marTop w:val="0"/>
      <w:marBottom w:val="0"/>
      <w:divBdr>
        <w:top w:val="none" w:sz="0" w:space="0" w:color="auto"/>
        <w:left w:val="none" w:sz="0" w:space="0" w:color="auto"/>
        <w:bottom w:val="none" w:sz="0" w:space="0" w:color="auto"/>
        <w:right w:val="none" w:sz="0" w:space="0" w:color="auto"/>
      </w:divBdr>
    </w:div>
    <w:div w:id="1174413951">
      <w:bodyDiv w:val="1"/>
      <w:marLeft w:val="0"/>
      <w:marRight w:val="0"/>
      <w:marTop w:val="0"/>
      <w:marBottom w:val="0"/>
      <w:divBdr>
        <w:top w:val="none" w:sz="0" w:space="0" w:color="auto"/>
        <w:left w:val="none" w:sz="0" w:space="0" w:color="auto"/>
        <w:bottom w:val="none" w:sz="0" w:space="0" w:color="auto"/>
        <w:right w:val="none" w:sz="0" w:space="0" w:color="auto"/>
      </w:divBdr>
    </w:div>
    <w:div w:id="1276669669">
      <w:bodyDiv w:val="1"/>
      <w:marLeft w:val="0"/>
      <w:marRight w:val="0"/>
      <w:marTop w:val="0"/>
      <w:marBottom w:val="0"/>
      <w:divBdr>
        <w:top w:val="none" w:sz="0" w:space="0" w:color="auto"/>
        <w:left w:val="none" w:sz="0" w:space="0" w:color="auto"/>
        <w:bottom w:val="none" w:sz="0" w:space="0" w:color="auto"/>
        <w:right w:val="none" w:sz="0" w:space="0" w:color="auto"/>
      </w:divBdr>
    </w:div>
    <w:div w:id="1278827520">
      <w:bodyDiv w:val="1"/>
      <w:marLeft w:val="0"/>
      <w:marRight w:val="0"/>
      <w:marTop w:val="0"/>
      <w:marBottom w:val="0"/>
      <w:divBdr>
        <w:top w:val="none" w:sz="0" w:space="0" w:color="auto"/>
        <w:left w:val="none" w:sz="0" w:space="0" w:color="auto"/>
        <w:bottom w:val="none" w:sz="0" w:space="0" w:color="auto"/>
        <w:right w:val="none" w:sz="0" w:space="0" w:color="auto"/>
      </w:divBdr>
    </w:div>
    <w:div w:id="1388068633">
      <w:bodyDiv w:val="1"/>
      <w:marLeft w:val="0"/>
      <w:marRight w:val="0"/>
      <w:marTop w:val="0"/>
      <w:marBottom w:val="0"/>
      <w:divBdr>
        <w:top w:val="none" w:sz="0" w:space="0" w:color="auto"/>
        <w:left w:val="none" w:sz="0" w:space="0" w:color="auto"/>
        <w:bottom w:val="none" w:sz="0" w:space="0" w:color="auto"/>
        <w:right w:val="none" w:sz="0" w:space="0" w:color="auto"/>
      </w:divBdr>
    </w:div>
    <w:div w:id="1412506253">
      <w:bodyDiv w:val="1"/>
      <w:marLeft w:val="0"/>
      <w:marRight w:val="0"/>
      <w:marTop w:val="0"/>
      <w:marBottom w:val="0"/>
      <w:divBdr>
        <w:top w:val="none" w:sz="0" w:space="0" w:color="auto"/>
        <w:left w:val="none" w:sz="0" w:space="0" w:color="auto"/>
        <w:bottom w:val="none" w:sz="0" w:space="0" w:color="auto"/>
        <w:right w:val="none" w:sz="0" w:space="0" w:color="auto"/>
      </w:divBdr>
    </w:div>
    <w:div w:id="1679575599">
      <w:bodyDiv w:val="1"/>
      <w:marLeft w:val="0"/>
      <w:marRight w:val="0"/>
      <w:marTop w:val="0"/>
      <w:marBottom w:val="0"/>
      <w:divBdr>
        <w:top w:val="none" w:sz="0" w:space="0" w:color="auto"/>
        <w:left w:val="none" w:sz="0" w:space="0" w:color="auto"/>
        <w:bottom w:val="none" w:sz="0" w:space="0" w:color="auto"/>
        <w:right w:val="none" w:sz="0" w:space="0" w:color="auto"/>
      </w:divBdr>
    </w:div>
    <w:div w:id="2050256065">
      <w:marLeft w:val="0"/>
      <w:marRight w:val="0"/>
      <w:marTop w:val="0"/>
      <w:marBottom w:val="0"/>
      <w:divBdr>
        <w:top w:val="none" w:sz="0" w:space="0" w:color="auto"/>
        <w:left w:val="none" w:sz="0" w:space="0" w:color="auto"/>
        <w:bottom w:val="none" w:sz="0" w:space="0" w:color="auto"/>
        <w:right w:val="none" w:sz="0" w:space="0" w:color="auto"/>
      </w:divBdr>
    </w:div>
    <w:div w:id="2077238061">
      <w:bodyDiv w:val="1"/>
      <w:marLeft w:val="0"/>
      <w:marRight w:val="0"/>
      <w:marTop w:val="0"/>
      <w:marBottom w:val="0"/>
      <w:divBdr>
        <w:top w:val="none" w:sz="0" w:space="0" w:color="auto"/>
        <w:left w:val="none" w:sz="0" w:space="0" w:color="auto"/>
        <w:bottom w:val="none" w:sz="0" w:space="0" w:color="auto"/>
        <w:right w:val="none" w:sz="0" w:space="0" w:color="auto"/>
      </w:divBdr>
      <w:divsChild>
        <w:div w:id="1066683717">
          <w:marLeft w:val="0"/>
          <w:marRight w:val="0"/>
          <w:marTop w:val="0"/>
          <w:marBottom w:val="0"/>
          <w:divBdr>
            <w:top w:val="none" w:sz="0" w:space="0" w:color="auto"/>
            <w:left w:val="none" w:sz="0" w:space="0" w:color="auto"/>
            <w:bottom w:val="none" w:sz="0" w:space="0" w:color="auto"/>
            <w:right w:val="none" w:sz="0" w:space="0" w:color="auto"/>
          </w:divBdr>
        </w:div>
        <w:div w:id="1076978397">
          <w:marLeft w:val="0"/>
          <w:marRight w:val="0"/>
          <w:marTop w:val="0"/>
          <w:marBottom w:val="0"/>
          <w:divBdr>
            <w:top w:val="none" w:sz="0" w:space="0" w:color="auto"/>
            <w:left w:val="none" w:sz="0" w:space="0" w:color="auto"/>
            <w:bottom w:val="none" w:sz="0" w:space="0" w:color="auto"/>
            <w:right w:val="none" w:sz="0" w:space="0" w:color="auto"/>
          </w:divBdr>
        </w:div>
        <w:div w:id="1292664149">
          <w:marLeft w:val="0"/>
          <w:marRight w:val="0"/>
          <w:marTop w:val="0"/>
          <w:marBottom w:val="0"/>
          <w:divBdr>
            <w:top w:val="none" w:sz="0" w:space="0" w:color="auto"/>
            <w:left w:val="none" w:sz="0" w:space="0" w:color="auto"/>
            <w:bottom w:val="none" w:sz="0" w:space="0" w:color="auto"/>
            <w:right w:val="none" w:sz="0" w:space="0" w:color="auto"/>
          </w:divBdr>
        </w:div>
        <w:div w:id="1936205864">
          <w:marLeft w:val="0"/>
          <w:marRight w:val="0"/>
          <w:marTop w:val="0"/>
          <w:marBottom w:val="0"/>
          <w:divBdr>
            <w:top w:val="none" w:sz="0" w:space="0" w:color="auto"/>
            <w:left w:val="none" w:sz="0" w:space="0" w:color="auto"/>
            <w:bottom w:val="none" w:sz="0" w:space="0" w:color="auto"/>
            <w:right w:val="none" w:sz="0" w:space="0" w:color="auto"/>
          </w:divBdr>
        </w:div>
        <w:div w:id="2042245323">
          <w:marLeft w:val="0"/>
          <w:marRight w:val="0"/>
          <w:marTop w:val="0"/>
          <w:marBottom w:val="0"/>
          <w:divBdr>
            <w:top w:val="none" w:sz="0" w:space="0" w:color="auto"/>
            <w:left w:val="none" w:sz="0" w:space="0" w:color="auto"/>
            <w:bottom w:val="none" w:sz="0" w:space="0" w:color="auto"/>
            <w:right w:val="none" w:sz="0" w:space="0" w:color="auto"/>
          </w:divBdr>
        </w:div>
      </w:divsChild>
    </w:div>
    <w:div w:id="2100709969">
      <w:bodyDiv w:val="1"/>
      <w:marLeft w:val="0"/>
      <w:marRight w:val="0"/>
      <w:marTop w:val="0"/>
      <w:marBottom w:val="0"/>
      <w:divBdr>
        <w:top w:val="none" w:sz="0" w:space="0" w:color="auto"/>
        <w:left w:val="none" w:sz="0" w:space="0" w:color="auto"/>
        <w:bottom w:val="none" w:sz="0" w:space="0" w:color="auto"/>
        <w:right w:val="none" w:sz="0" w:space="0" w:color="auto"/>
      </w:divBdr>
      <w:divsChild>
        <w:div w:id="144395838">
          <w:marLeft w:val="0"/>
          <w:marRight w:val="0"/>
          <w:marTop w:val="0"/>
          <w:marBottom w:val="0"/>
          <w:divBdr>
            <w:top w:val="none" w:sz="0" w:space="0" w:color="auto"/>
            <w:left w:val="none" w:sz="0" w:space="0" w:color="auto"/>
            <w:bottom w:val="none" w:sz="0" w:space="0" w:color="auto"/>
            <w:right w:val="none" w:sz="0" w:space="0" w:color="auto"/>
          </w:divBdr>
        </w:div>
        <w:div w:id="842820430">
          <w:marLeft w:val="0"/>
          <w:marRight w:val="0"/>
          <w:marTop w:val="0"/>
          <w:marBottom w:val="0"/>
          <w:divBdr>
            <w:top w:val="none" w:sz="0" w:space="0" w:color="auto"/>
            <w:left w:val="none" w:sz="0" w:space="0" w:color="auto"/>
            <w:bottom w:val="none" w:sz="0" w:space="0" w:color="auto"/>
            <w:right w:val="none" w:sz="0" w:space="0" w:color="auto"/>
          </w:divBdr>
        </w:div>
        <w:div w:id="946959413">
          <w:marLeft w:val="0"/>
          <w:marRight w:val="0"/>
          <w:marTop w:val="0"/>
          <w:marBottom w:val="0"/>
          <w:divBdr>
            <w:top w:val="none" w:sz="0" w:space="0" w:color="auto"/>
            <w:left w:val="none" w:sz="0" w:space="0" w:color="auto"/>
            <w:bottom w:val="none" w:sz="0" w:space="0" w:color="auto"/>
            <w:right w:val="none" w:sz="0" w:space="0" w:color="auto"/>
          </w:divBdr>
        </w:div>
        <w:div w:id="1262030021">
          <w:marLeft w:val="0"/>
          <w:marRight w:val="0"/>
          <w:marTop w:val="0"/>
          <w:marBottom w:val="0"/>
          <w:divBdr>
            <w:top w:val="none" w:sz="0" w:space="0" w:color="auto"/>
            <w:left w:val="none" w:sz="0" w:space="0" w:color="auto"/>
            <w:bottom w:val="none" w:sz="0" w:space="0" w:color="auto"/>
            <w:right w:val="none" w:sz="0" w:space="0" w:color="auto"/>
          </w:divBdr>
        </w:div>
        <w:div w:id="1298410147">
          <w:marLeft w:val="0"/>
          <w:marRight w:val="0"/>
          <w:marTop w:val="0"/>
          <w:marBottom w:val="0"/>
          <w:divBdr>
            <w:top w:val="none" w:sz="0" w:space="0" w:color="auto"/>
            <w:left w:val="none" w:sz="0" w:space="0" w:color="auto"/>
            <w:bottom w:val="none" w:sz="0" w:space="0" w:color="auto"/>
            <w:right w:val="none" w:sz="0" w:space="0" w:color="auto"/>
          </w:divBdr>
        </w:div>
      </w:divsChild>
    </w:div>
    <w:div w:id="21226767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42073647381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omecredit.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yperlink" Target="https://www.clovekvtisni.cz/index-odpovedneho-uverovani-9433gp?gad_source=1&amp;gad_campaignid=22580904713&amp;gbraid=0AAAAAD10qs_0V_k6_M_5eHU1dv3QFkkjB&amp;gclid=EAIaIQobChMIqsb3teL7kQMV4xCiAx1G2Ax-EAAYASAAEgKLGvD_Bw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terina.dobesova@homecredit.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221126796330729"/>
          <c:y val="3.9094518344060303E-2"/>
          <c:w val="0.53888289400968459"/>
          <c:h val="0.92181096331187939"/>
        </c:manualLayout>
      </c:layout>
      <c:barChart>
        <c:barDir val="bar"/>
        <c:grouping val="clustered"/>
        <c:varyColors val="0"/>
        <c:ser>
          <c:idx val="0"/>
          <c:order val="0"/>
          <c:tx>
            <c:strRef>
              <c:f>Sheet1!$B$1</c:f>
              <c:strCache>
                <c:ptCount val="1"/>
                <c:pt idx="0">
                  <c:v>2026</c:v>
                </c:pt>
              </c:strCache>
            </c:strRef>
          </c:tx>
          <c:spPr>
            <a:solidFill>
              <a:srgbClr val="E11931"/>
            </a:solidFill>
            <a:ln>
              <a:noFill/>
            </a:ln>
            <a:effectLst/>
          </c:spPr>
          <c:invertIfNegative val="1"/>
          <c:dLbls>
            <c:numFmt formatCode="#,##0" sourceLinked="0"/>
            <c:spPr>
              <a:noFill/>
              <a:ln>
                <a:noFill/>
              </a:ln>
              <a:effectLst/>
            </c:spPr>
            <c:txPr>
              <a:bodyPr wrap="square" lIns="38100" tIns="19050" rIns="38100" bIns="19050" anchor="ctr">
                <a:spAutoFit/>
              </a:bodyPr>
              <a:lstStyle/>
              <a:p>
                <a:pPr>
                  <a:defRPr sz="8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Sheet1!$A$2:$A$7</c:f>
              <c:strCache>
                <c:ptCount val="6"/>
                <c:pt idx="0">
                  <c:v>Jiné, uveďte...</c:v>
                </c:pt>
                <c:pt idx="1">
                  <c:v>Oslovil/a jsem společnost, kde už jsem v minulosti využil/a půjčku</c:v>
                </c:pt>
                <c:pt idx="2">
                  <c:v>Oslovil/a jsem společnost, kterou mi doporučil finanční poradce</c:v>
                </c:pt>
                <c:pt idx="3">
                  <c:v>Využil/a jsem úvěr nabízený v obchodě / e-shopu</c:v>
                </c:pt>
                <c:pt idx="4">
                  <c:v>Porovnal/a jsem si několik společností a z nich vybral/a</c:v>
                </c:pt>
                <c:pt idx="5">
                  <c:v>Oslovil/a jsem banku, kde mám účet</c:v>
                </c:pt>
              </c:strCache>
            </c:strRef>
          </c:cat>
          <c:val>
            <c:numRef>
              <c:f>Sheet1!$B$2:$B$7</c:f>
              <c:numCache>
                <c:formatCode>General</c:formatCode>
                <c:ptCount val="6"/>
                <c:pt idx="0">
                  <c:v>2.7</c:v>
                </c:pt>
                <c:pt idx="1">
                  <c:v>9</c:v>
                </c:pt>
                <c:pt idx="2">
                  <c:v>9.5</c:v>
                </c:pt>
                <c:pt idx="3">
                  <c:v>10.4</c:v>
                </c:pt>
                <c:pt idx="4">
                  <c:v>24.8</c:v>
                </c:pt>
                <c:pt idx="5">
                  <c:v>43.7</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FFE4-4057-A608-B10C8ECF67BC}"/>
            </c:ext>
          </c:extLst>
        </c:ser>
        <c:ser>
          <c:idx val="1"/>
          <c:order val="1"/>
          <c:tx>
            <c:strRef>
              <c:f>Sheet1!$C$1</c:f>
              <c:strCache>
                <c:ptCount val="1"/>
                <c:pt idx="0">
                  <c:v>2025</c:v>
                </c:pt>
              </c:strCache>
            </c:strRef>
          </c:tx>
          <c:spPr>
            <a:solidFill>
              <a:srgbClr val="595959"/>
            </a:solidFill>
            <a:ln>
              <a:noFill/>
            </a:ln>
            <a:effectLst/>
          </c:spPr>
          <c:invertIfNegative val="1"/>
          <c:dLbls>
            <c:numFmt formatCode="#,##0" sourceLinked="0"/>
            <c:spPr>
              <a:noFill/>
              <a:ln>
                <a:noFill/>
              </a:ln>
              <a:effectLst/>
            </c:spPr>
            <c:txPr>
              <a:bodyPr wrap="square" lIns="38100" tIns="19050" rIns="38100" bIns="19050" anchor="ctr">
                <a:spAutoFit/>
              </a:bodyPr>
              <a:lstStyle/>
              <a:p>
                <a:pPr>
                  <a:defRPr sz="8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Sheet1!$A$2:$A$7</c:f>
              <c:strCache>
                <c:ptCount val="6"/>
                <c:pt idx="0">
                  <c:v>Jiné, uveďte...</c:v>
                </c:pt>
                <c:pt idx="1">
                  <c:v>Oslovil/a jsem společnost, kde už jsem v minulosti využil/a půjčku</c:v>
                </c:pt>
                <c:pt idx="2">
                  <c:v>Oslovil/a jsem společnost, kterou mi doporučil finanční poradce</c:v>
                </c:pt>
                <c:pt idx="3">
                  <c:v>Využil/a jsem úvěr nabízený v obchodě / e-shopu</c:v>
                </c:pt>
                <c:pt idx="4">
                  <c:v>Porovnal/a jsem si několik společností a z nich vybral/a</c:v>
                </c:pt>
                <c:pt idx="5">
                  <c:v>Oslovil/a jsem banku, kde mám účet</c:v>
                </c:pt>
              </c:strCache>
            </c:strRef>
          </c:cat>
          <c:val>
            <c:numRef>
              <c:f>Sheet1!$C$2:$C$7</c:f>
              <c:numCache>
                <c:formatCode>General</c:formatCode>
                <c:ptCount val="6"/>
                <c:pt idx="0">
                  <c:v>0</c:v>
                </c:pt>
                <c:pt idx="1">
                  <c:v>10.199999999999999</c:v>
                </c:pt>
                <c:pt idx="2">
                  <c:v>8.1999999999999993</c:v>
                </c:pt>
                <c:pt idx="3">
                  <c:v>4.5</c:v>
                </c:pt>
                <c:pt idx="4">
                  <c:v>24.1</c:v>
                </c:pt>
                <c:pt idx="5">
                  <c:v>49.8</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FFE4-4057-A608-B10C8ECF67BC}"/>
            </c:ext>
          </c:extLst>
        </c:ser>
        <c:dLbls>
          <c:showLegendKey val="0"/>
          <c:showVal val="0"/>
          <c:showCatName val="0"/>
          <c:showSerName val="0"/>
          <c:showPercent val="0"/>
          <c:showBubbleSize val="0"/>
        </c:dLbls>
        <c:gapWidth val="50"/>
        <c:axId val="-2068027336"/>
        <c:axId val="-2113994440"/>
      </c:barChart>
      <c:catAx>
        <c:axId val="-2068027336"/>
        <c:scaling>
          <c:orientation val="minMax"/>
        </c:scaling>
        <c:delete val="0"/>
        <c:axPos val="l"/>
        <c:numFmt formatCode="General" sourceLinked="0"/>
        <c:majorTickMark val="none"/>
        <c:minorTickMark val="none"/>
        <c:tickLblPos val="nextTo"/>
        <c:spPr>
          <a:noFill/>
          <a:ln w="9525" cap="flat" cmpd="sng" algn="ctr">
            <a:solidFill>
              <a:schemeClr val="bg1">
                <a:lumMod val="6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defRPr>
            </a:pPr>
            <a:endParaRPr lang="cs-CZ"/>
          </a:p>
        </c:txPr>
        <c:crossAx val="-2113994440"/>
        <c:crosses val="autoZero"/>
        <c:auto val="1"/>
        <c:lblAlgn val="ctr"/>
        <c:lblOffset val="100"/>
        <c:noMultiLvlLbl val="0"/>
      </c:catAx>
      <c:valAx>
        <c:axId val="-2113994440"/>
        <c:scaling>
          <c:orientation val="minMax"/>
        </c:scaling>
        <c:delete val="1"/>
        <c:axPos val="b"/>
        <c:numFmt formatCode="General" sourceLinked="1"/>
        <c:majorTickMark val="out"/>
        <c:minorTickMark val="none"/>
        <c:tickLblPos val="nextTo"/>
        <c:crossAx val="-2068027336"/>
        <c:crosses val="autoZero"/>
        <c:crossBetween val="between"/>
      </c:valAx>
    </c:plotArea>
    <c:legend>
      <c:legendPos val="r"/>
      <c:overlay val="0"/>
      <c:spPr>
        <a:noFill/>
        <a:ln>
          <a:noFill/>
        </a:ln>
        <a:effectLst/>
      </c:spPr>
      <c:txPr>
        <a:bodyPr rot="0" spcFirstLastPara="1" vert="horz" wrap="square" anchor="ctr" anchorCtr="1"/>
        <a:lstStyle/>
        <a:p>
          <a:pPr>
            <a:defRPr sz="900" b="0" i="0" u="none" strike="noStrike" kern="1200" baseline="0">
              <a:solidFill>
                <a:schemeClr val="tx1">
                  <a:lumMod val="65000"/>
                  <a:lumOff val="35000"/>
                </a:schemeClr>
              </a:solidFill>
              <a:latin typeface="+mn-lt"/>
            </a:defRPr>
          </a:pPr>
          <a:endParaRPr lang="cs-CZ"/>
        </a:p>
      </c:txPr>
    </c:legend>
    <c:plotVisOnly val="1"/>
    <c:dispBlanksAs val="gap"/>
    <c:showDLblsOverMax val="1"/>
  </c:chart>
  <c:txPr>
    <a:bodyPr/>
    <a:lstStyle/>
    <a:p>
      <a:pPr>
        <a:defRPr sz="1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2026</c:v>
                </c:pt>
              </c:strCache>
            </c:strRef>
          </c:tx>
          <c:spPr>
            <a:solidFill>
              <a:srgbClr val="E11931"/>
            </a:solidFill>
            <a:ln>
              <a:noFill/>
            </a:ln>
            <a:effectLst/>
          </c:spPr>
          <c:invertIfNegative val="1"/>
          <c:dLbls>
            <c:numFmt formatCode="#,##0" sourceLinked="0"/>
            <c:spPr>
              <a:noFill/>
              <a:ln>
                <a:noFill/>
              </a:ln>
              <a:effectLst/>
            </c:spPr>
            <c:txPr>
              <a:bodyPr wrap="square" lIns="38100" tIns="19050" rIns="38100" bIns="19050" anchor="ctr">
                <a:spAutoFit/>
              </a:bodyPr>
              <a:lstStyle/>
              <a:p>
                <a:pPr>
                  <a:defRPr sz="8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Zařízení na posílení energetické soběstačnosti (fotovoltaická elektrárna, tepelné čerpadlo apod.)</c:v>
                </c:pt>
                <c:pt idx="1">
                  <c:v>Podnikání</c:v>
                </c:pt>
                <c:pt idx="2">
                  <c:v>Dovolená</c:v>
                </c:pt>
                <c:pt idx="3">
                  <c:v>Studium, vzdělávání</c:v>
                </c:pt>
                <c:pt idx="4">
                  <c:v>Zdravotní pomůcky, léky, zdravotní péče</c:v>
                </c:pt>
                <c:pt idx="5">
                  <c:v>Nábytek</c:v>
                </c:pt>
                <c:pt idx="6">
                  <c:v>Bílé elektro (lednice, pračka apod.)</c:v>
                </c:pt>
                <c:pt idx="7">
                  <c:v>Finanční pomoc rodině nebo kamarádům</c:v>
                </c:pt>
                <c:pt idx="8">
                  <c:v>Spotřební elektronika (mobil, TV, notebook apod.)</c:v>
                </c:pt>
                <c:pt idx="9">
                  <c:v>Splacení jiné půjčky</c:v>
                </c:pt>
                <c:pt idx="10">
                  <c:v>Běžné výdaje domácnosti (složenky, jídlo apod.)</c:v>
                </c:pt>
                <c:pt idx="11">
                  <c:v>Rekonstrukce v domácnosti</c:v>
                </c:pt>
                <c:pt idx="12">
                  <c:v>Auto</c:v>
                </c:pt>
              </c:strCache>
            </c:strRef>
          </c:cat>
          <c:val>
            <c:numRef>
              <c:f>Sheet1!$B$2:$B$14</c:f>
              <c:numCache>
                <c:formatCode>General</c:formatCode>
                <c:ptCount val="13"/>
                <c:pt idx="0">
                  <c:v>1.4</c:v>
                </c:pt>
                <c:pt idx="1">
                  <c:v>2.2999999999999998</c:v>
                </c:pt>
                <c:pt idx="2">
                  <c:v>2.7</c:v>
                </c:pt>
                <c:pt idx="3">
                  <c:v>2.7</c:v>
                </c:pt>
                <c:pt idx="4">
                  <c:v>2.7</c:v>
                </c:pt>
                <c:pt idx="5">
                  <c:v>3.2</c:v>
                </c:pt>
                <c:pt idx="6">
                  <c:v>4.0999999999999996</c:v>
                </c:pt>
                <c:pt idx="7">
                  <c:v>5</c:v>
                </c:pt>
                <c:pt idx="8">
                  <c:v>5</c:v>
                </c:pt>
                <c:pt idx="9">
                  <c:v>5.9</c:v>
                </c:pt>
                <c:pt idx="10">
                  <c:v>8.6</c:v>
                </c:pt>
                <c:pt idx="11">
                  <c:v>17.100000000000001</c:v>
                </c:pt>
                <c:pt idx="12">
                  <c:v>27.5</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911E-4AE3-8D60-A9E7B15D804C}"/>
            </c:ext>
          </c:extLst>
        </c:ser>
        <c:ser>
          <c:idx val="1"/>
          <c:order val="1"/>
          <c:tx>
            <c:strRef>
              <c:f>Sheet1!$C$1</c:f>
              <c:strCache>
                <c:ptCount val="1"/>
                <c:pt idx="0">
                  <c:v>2025</c:v>
                </c:pt>
              </c:strCache>
            </c:strRef>
          </c:tx>
          <c:spPr>
            <a:solidFill>
              <a:srgbClr val="595959"/>
            </a:solidFill>
            <a:ln>
              <a:noFill/>
            </a:ln>
            <a:effectLst/>
          </c:spPr>
          <c:invertIfNegative val="1"/>
          <c:dLbls>
            <c:numFmt formatCode="#,##0" sourceLinked="0"/>
            <c:spPr>
              <a:noFill/>
              <a:ln>
                <a:noFill/>
              </a:ln>
              <a:effectLst/>
            </c:spPr>
            <c:txPr>
              <a:bodyPr wrap="square" lIns="38100" tIns="19050" rIns="38100" bIns="19050" anchor="ctr">
                <a:spAutoFit/>
              </a:bodyPr>
              <a:lstStyle/>
              <a:p>
                <a:pPr>
                  <a:defRPr sz="800" b="1"/>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Zařízení na posílení energetické soběstačnosti (fotovoltaická elektrárna, tepelné čerpadlo apod.)</c:v>
                </c:pt>
                <c:pt idx="1">
                  <c:v>Podnikání</c:v>
                </c:pt>
                <c:pt idx="2">
                  <c:v>Dovolená</c:v>
                </c:pt>
                <c:pt idx="3">
                  <c:v>Studium, vzdělávání</c:v>
                </c:pt>
                <c:pt idx="4">
                  <c:v>Zdravotní pomůcky, léky, zdravotní péče</c:v>
                </c:pt>
                <c:pt idx="5">
                  <c:v>Nábytek</c:v>
                </c:pt>
                <c:pt idx="6">
                  <c:v>Bílé elektro (lednice, pračka apod.)</c:v>
                </c:pt>
                <c:pt idx="7">
                  <c:v>Finanční pomoc rodině nebo kamarádům</c:v>
                </c:pt>
                <c:pt idx="8">
                  <c:v>Spotřební elektronika (mobil, TV, notebook apod.)</c:v>
                </c:pt>
                <c:pt idx="9">
                  <c:v>Splacení jiné půjčky</c:v>
                </c:pt>
                <c:pt idx="10">
                  <c:v>Běžné výdaje domácnosti (složenky, jídlo apod.)</c:v>
                </c:pt>
                <c:pt idx="11">
                  <c:v>Rekonstrukce v domácnosti</c:v>
                </c:pt>
                <c:pt idx="12">
                  <c:v>Auto</c:v>
                </c:pt>
              </c:strCache>
            </c:strRef>
          </c:cat>
          <c:val>
            <c:numRef>
              <c:f>Sheet1!$C$2:$C$14</c:f>
              <c:numCache>
                <c:formatCode>General</c:formatCode>
                <c:ptCount val="13"/>
                <c:pt idx="0">
                  <c:v>2.9</c:v>
                </c:pt>
                <c:pt idx="1">
                  <c:v>2.4</c:v>
                </c:pt>
                <c:pt idx="2">
                  <c:v>2.4</c:v>
                </c:pt>
                <c:pt idx="3">
                  <c:v>0.4</c:v>
                </c:pt>
                <c:pt idx="4">
                  <c:v>1.2</c:v>
                </c:pt>
                <c:pt idx="5">
                  <c:v>2.4</c:v>
                </c:pt>
                <c:pt idx="6">
                  <c:v>4.5</c:v>
                </c:pt>
                <c:pt idx="7">
                  <c:v>2.9</c:v>
                </c:pt>
                <c:pt idx="8">
                  <c:v>6.5</c:v>
                </c:pt>
                <c:pt idx="9">
                  <c:v>5.3</c:v>
                </c:pt>
                <c:pt idx="10">
                  <c:v>6.5</c:v>
                </c:pt>
                <c:pt idx="11">
                  <c:v>21.6</c:v>
                </c:pt>
                <c:pt idx="12">
                  <c:v>28.6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911E-4AE3-8D60-A9E7B15D804C}"/>
            </c:ext>
          </c:extLst>
        </c:ser>
        <c:dLbls>
          <c:showLegendKey val="0"/>
          <c:showVal val="0"/>
          <c:showCatName val="0"/>
          <c:showSerName val="0"/>
          <c:showPercent val="0"/>
          <c:showBubbleSize val="0"/>
        </c:dLbls>
        <c:gapWidth val="50"/>
        <c:axId val="-2068027336"/>
        <c:axId val="-2113994440"/>
      </c:barChart>
      <c:catAx>
        <c:axId val="-2068027336"/>
        <c:scaling>
          <c:orientation val="minMax"/>
        </c:scaling>
        <c:delete val="0"/>
        <c:axPos val="l"/>
        <c:numFmt formatCode="General" sourceLinked="0"/>
        <c:majorTickMark val="none"/>
        <c:minorTickMark val="none"/>
        <c:tickLblPos val="nextTo"/>
        <c:spPr>
          <a:noFill/>
          <a:ln w="9525" cap="flat" cmpd="sng" algn="ctr">
            <a:solidFill>
              <a:schemeClr val="bg1">
                <a:lumMod val="6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defRPr>
            </a:pPr>
            <a:endParaRPr lang="cs-CZ"/>
          </a:p>
        </c:txPr>
        <c:crossAx val="-2113994440"/>
        <c:crosses val="autoZero"/>
        <c:auto val="1"/>
        <c:lblAlgn val="ctr"/>
        <c:lblOffset val="100"/>
        <c:noMultiLvlLbl val="0"/>
      </c:catAx>
      <c:valAx>
        <c:axId val="-2113994440"/>
        <c:scaling>
          <c:orientation val="minMax"/>
        </c:scaling>
        <c:delete val="1"/>
        <c:axPos val="b"/>
        <c:numFmt formatCode="General" sourceLinked="1"/>
        <c:majorTickMark val="out"/>
        <c:minorTickMark val="none"/>
        <c:tickLblPos val="nextTo"/>
        <c:crossAx val="-2068027336"/>
        <c:crosses val="autoZero"/>
        <c:crossBetween val="between"/>
      </c:valAx>
    </c:plotArea>
    <c:legend>
      <c:legendPos val="r"/>
      <c:overlay val="0"/>
      <c:spPr>
        <a:noFill/>
        <a:ln>
          <a:noFill/>
        </a:ln>
        <a:effectLst/>
      </c:spPr>
      <c:txPr>
        <a:bodyPr rot="0" spcFirstLastPara="1" vert="horz" wrap="square" anchor="ctr" anchorCtr="1"/>
        <a:lstStyle/>
        <a:p>
          <a:pPr>
            <a:defRPr sz="800" b="0" i="0" u="none" strike="noStrike" kern="1200" baseline="0">
              <a:solidFill>
                <a:schemeClr val="tx1">
                  <a:lumMod val="65000"/>
                  <a:lumOff val="35000"/>
                </a:schemeClr>
              </a:solidFill>
              <a:latin typeface="+mn-lt"/>
            </a:defRPr>
          </a:pPr>
          <a:endParaRPr lang="cs-CZ"/>
        </a:p>
      </c:txPr>
    </c:legend>
    <c:plotVisOnly val="1"/>
    <c:dispBlanksAs val="gap"/>
    <c:showDLblsOverMax val="1"/>
  </c:chart>
  <c:txPr>
    <a:bodyPr/>
    <a:lstStyle/>
    <a:p>
      <a:pPr>
        <a:defRPr sz="1800"/>
      </a:pPr>
      <a:endParaRPr lang="en-US"/>
    </a:p>
  </c:txPr>
  <c:externalData r:id="rId1">
    <c:autoUpdate val="0"/>
  </c:externalData>
</c:chartSpac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5EDD97642A3846A6E12755BAAD8C13" ma:contentTypeVersion="15" ma:contentTypeDescription="Create a new document." ma:contentTypeScope="" ma:versionID="b6529e8452f739d1a3a95eac98c2b3a0">
  <xsd:schema xmlns:xsd="http://www.w3.org/2001/XMLSchema" xmlns:xs="http://www.w3.org/2001/XMLSchema" xmlns:p="http://schemas.microsoft.com/office/2006/metadata/properties" xmlns:ns2="f35b1aa2-09f5-498f-b3f6-63c913235998" xmlns:ns3="645d7e82-f411-420a-bcea-92e9f5eb33d1" targetNamespace="http://schemas.microsoft.com/office/2006/metadata/properties" ma:root="true" ma:fieldsID="27fec8b2b6df54c3f045cd0c6450bf53" ns2:_="" ns3:_="">
    <xsd:import namespace="f35b1aa2-09f5-498f-b3f6-63c913235998"/>
    <xsd:import namespace="645d7e82-f411-420a-bcea-92e9f5eb33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b1aa2-09f5-498f-b3f6-63c913235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d19e066-dc62-4084-ae18-cf6a94aca4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d7e82-f411-420a-bcea-92e9f5eb33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5b1aa2-09f5-498f-b3f6-63c9132359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351B36-D055-499F-B3D3-4D9427960238}">
  <ds:schemaRefs>
    <ds:schemaRef ds:uri="http://schemas.openxmlformats.org/officeDocument/2006/bibliography"/>
  </ds:schemaRefs>
</ds:datastoreItem>
</file>

<file path=customXml/itemProps2.xml><?xml version="1.0" encoding="utf-8"?>
<ds:datastoreItem xmlns:ds="http://schemas.openxmlformats.org/officeDocument/2006/customXml" ds:itemID="{F19ED2E3-DA52-4E73-A441-B4DEE83CD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b1aa2-09f5-498f-b3f6-63c913235998"/>
    <ds:schemaRef ds:uri="645d7e82-f411-420a-bcea-92e9f5eb3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5B727-9155-4A28-A1A0-48A8A0BC3446}">
  <ds:schemaRefs>
    <ds:schemaRef ds:uri="http://schemas.microsoft.com/sharepoint/v3/contenttype/forms"/>
  </ds:schemaRefs>
</ds:datastoreItem>
</file>

<file path=customXml/itemProps4.xml><?xml version="1.0" encoding="utf-8"?>
<ds:datastoreItem xmlns:ds="http://schemas.openxmlformats.org/officeDocument/2006/customXml" ds:itemID="{BE9FF8C7-E1E7-4E0C-98F6-E03FB9F5A2A7}">
  <ds:schemaRefs>
    <ds:schemaRef ds:uri="http://schemas.microsoft.com/office/2006/metadata/properties"/>
    <ds:schemaRef ds:uri="http://schemas.microsoft.com/office/infopath/2007/PartnerControls"/>
    <ds:schemaRef ds:uri="f35b1aa2-09f5-498f-b3f6-63c9132359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853</Words>
  <Characters>5033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HomeCredit International</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Dobešová (CZ)</dc:creator>
  <cp:keywords/>
  <dc:description/>
  <cp:lastModifiedBy>Marie Cimplová | CrestCommunications a.s.</cp:lastModifiedBy>
  <cp:revision>3</cp:revision>
  <dcterms:created xsi:type="dcterms:W3CDTF">2026-08-03T07:59:00Z</dcterms:created>
  <dcterms:modified xsi:type="dcterms:W3CDTF">2026-08-03T07:59:00Z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5356639d,5b5cf6ea,63a32336</vt:lpwstr>
  </property>
  <property fmtid="{D5CDD505-2E9C-101B-9397-08002B2CF9AE}" pid="3" name="ClassificationContentMarkingFooterFontProps">
    <vt:lpwstr>#000000,8,Calibri</vt:lpwstr>
  </property>
  <property fmtid="{D5CDD505-2E9C-101B-9397-08002B2CF9AE}" pid="4" name="ClassificationContentMarkingFooterText">
    <vt:lpwstr>Klasifikační stupeň tohoto dokumentu je interní (Internal). Dokument je určen pro zaměstnance nebo spolupracovníky. Byl vytvořen a je vlastněn společností Home Credit a.s. / Home Credit Slovakia, a.s.</vt:lpwstr>
  </property>
  <property fmtid="{D5CDD505-2E9C-101B-9397-08002B2CF9AE}" pid="5" name="MSIP_Label_72c5bbdb-8c63-46a2-a284-b318feb876ca_Enabled">
    <vt:lpwstr>true</vt:lpwstr>
  </property>
  <property fmtid="{D5CDD505-2E9C-101B-9397-08002B2CF9AE}" pid="6" name="MSIP_Label_72c5bbdb-8c63-46a2-a284-b318feb876ca_SetDate">
    <vt:lpwstr>2023-11-10T13:39:48Z</vt:lpwstr>
  </property>
  <property fmtid="{D5CDD505-2E9C-101B-9397-08002B2CF9AE}" pid="7" name="MSIP_Label_72c5bbdb-8c63-46a2-a284-b318feb876ca_Method">
    <vt:lpwstr>Standard</vt:lpwstr>
  </property>
  <property fmtid="{D5CDD505-2E9C-101B-9397-08002B2CF9AE}" pid="8" name="MSIP_Label_72c5bbdb-8c63-46a2-a284-b318feb876ca_Name">
    <vt:lpwstr>Internal</vt:lpwstr>
  </property>
  <property fmtid="{D5CDD505-2E9C-101B-9397-08002B2CF9AE}" pid="9" name="MSIP_Label_72c5bbdb-8c63-46a2-a284-b318feb876ca_SiteId">
    <vt:lpwstr>4dccb863-b9f9-42ff-b199-b749a67a3298</vt:lpwstr>
  </property>
  <property fmtid="{D5CDD505-2E9C-101B-9397-08002B2CF9AE}" pid="10" name="MSIP_Label_72c5bbdb-8c63-46a2-a284-b318feb876ca_ActionId">
    <vt:lpwstr>bf8b1e50-45ed-4a2b-a375-f92792dcfc29</vt:lpwstr>
  </property>
  <property fmtid="{D5CDD505-2E9C-101B-9397-08002B2CF9AE}" pid="11" name="MSIP_Label_72c5bbdb-8c63-46a2-a284-b318feb876ca_ContentBits">
    <vt:lpwstr>2</vt:lpwstr>
  </property>
  <property fmtid="{D5CDD505-2E9C-101B-9397-08002B2CF9AE}" pid="12" name="ContentTypeId">
    <vt:lpwstr>0x010100425EDD97642A3846A6E12755BAAD8C13</vt:lpwstr>
  </property>
  <property fmtid="{D5CDD505-2E9C-101B-9397-08002B2CF9AE}" pid="13" name="MediaServiceImageTags">
    <vt:lpwstr/>
  </property>
  <property fmtid="{D5CDD505-2E9C-101B-9397-08002B2CF9AE}" pid="14" name="docLang">
    <vt:lpwstr>cs</vt:lpwstr>
  </property>
</Properties>
</file>