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AF0D" w14:textId="77777777" w:rsidR="006C0694" w:rsidRPr="0085622D" w:rsidRDefault="006C0694" w:rsidP="00C00401">
      <w:pPr>
        <w:rPr>
          <w:rFonts w:cs="Open Sans"/>
        </w:rPr>
      </w:pPr>
    </w:p>
    <w:p w14:paraId="0744E5FA" w14:textId="77777777" w:rsidR="00BE39AB" w:rsidRDefault="00BE39AB" w:rsidP="00A62FB4">
      <w:pPr>
        <w:rPr>
          <w:rFonts w:cs="Open Sans"/>
          <w:b/>
          <w:bCs/>
          <w:sz w:val="32"/>
          <w:szCs w:val="32"/>
        </w:rPr>
      </w:pPr>
      <w:r w:rsidRPr="00BE39AB">
        <w:rPr>
          <w:rFonts w:cs="Open Sans"/>
          <w:b/>
          <w:bCs/>
          <w:sz w:val="32"/>
          <w:szCs w:val="32"/>
        </w:rPr>
        <w:t>Jak chytře investovat do nemovitostí: Praktický průvodce pro každého</w:t>
      </w:r>
    </w:p>
    <w:p w14:paraId="61775F65" w14:textId="031E77EB" w:rsidR="00B117BC" w:rsidRDefault="00581AC6" w:rsidP="00A62FB4">
      <w:pPr>
        <w:rPr>
          <w:rFonts w:cs="Open Sans"/>
          <w:b/>
          <w:bCs/>
        </w:rPr>
      </w:pPr>
      <w:r>
        <w:rPr>
          <w:rFonts w:cs="Open Sans"/>
          <w:b/>
          <w:bCs/>
        </w:rPr>
        <w:t xml:space="preserve">Praha </w:t>
      </w:r>
      <w:r w:rsidR="007C1A1F">
        <w:rPr>
          <w:rFonts w:cs="Open Sans"/>
          <w:b/>
          <w:bCs/>
        </w:rPr>
        <w:t>18</w:t>
      </w:r>
      <w:r>
        <w:rPr>
          <w:rFonts w:cs="Open Sans"/>
          <w:b/>
          <w:bCs/>
        </w:rPr>
        <w:t xml:space="preserve">. </w:t>
      </w:r>
      <w:r w:rsidR="009924AC">
        <w:rPr>
          <w:rFonts w:cs="Open Sans"/>
          <w:b/>
          <w:bCs/>
        </w:rPr>
        <w:t>srpna</w:t>
      </w:r>
      <w:r>
        <w:rPr>
          <w:rFonts w:cs="Open Sans"/>
          <w:b/>
          <w:bCs/>
        </w:rPr>
        <w:t xml:space="preserve"> 202</w:t>
      </w:r>
      <w:r w:rsidR="0075473B">
        <w:rPr>
          <w:rFonts w:cs="Open Sans"/>
          <w:b/>
          <w:bCs/>
        </w:rPr>
        <w:t>5</w:t>
      </w:r>
      <w:r>
        <w:rPr>
          <w:rFonts w:cs="Open Sans"/>
          <w:b/>
          <w:bCs/>
        </w:rPr>
        <w:t xml:space="preserve"> </w:t>
      </w:r>
      <w:r w:rsidR="006261F9">
        <w:rPr>
          <w:rFonts w:cs="Open Sans"/>
          <w:b/>
          <w:bCs/>
        </w:rPr>
        <w:t>–</w:t>
      </w:r>
      <w:r w:rsidR="008F63B4">
        <w:rPr>
          <w:rFonts w:cs="Open Sans"/>
          <w:b/>
          <w:bCs/>
        </w:rPr>
        <w:t xml:space="preserve"> </w:t>
      </w:r>
      <w:r w:rsidR="00F45534" w:rsidRPr="00F45534">
        <w:rPr>
          <w:rFonts w:cs="Open Sans"/>
          <w:b/>
          <w:bCs/>
        </w:rPr>
        <w:t>Investice do nemovitostí představují jednu z</w:t>
      </w:r>
      <w:r w:rsidR="00F45534">
        <w:rPr>
          <w:rFonts w:cs="Open Sans"/>
          <w:b/>
          <w:bCs/>
        </w:rPr>
        <w:t> </w:t>
      </w:r>
      <w:r w:rsidR="00F45534" w:rsidRPr="00F45534">
        <w:rPr>
          <w:rFonts w:cs="Open Sans"/>
          <w:b/>
          <w:bCs/>
        </w:rPr>
        <w:t>nejoblíbenějších forem zhodnocení kapitálu, nabízející různé možnosti od přímého vlastnictví nemovitostí až po nepřímé investování prostřednictvím fondů. Ne všechny formy jsou však vhodné pro každého investora. Každá varianta má svá specifika, výhody i rizika, která je třeba důkladně zvážit.</w:t>
      </w:r>
    </w:p>
    <w:p w14:paraId="3F09FF74" w14:textId="2AEE286B" w:rsidR="00446A76" w:rsidRDefault="00F45534" w:rsidP="000B6644">
      <w:pPr>
        <w:rPr>
          <w:rFonts w:cs="Open Sans"/>
        </w:rPr>
      </w:pPr>
      <w:r>
        <w:rPr>
          <w:rFonts w:cs="Open Sans"/>
        </w:rPr>
        <w:t>J</w:t>
      </w:r>
      <w:r w:rsidRPr="00F45534">
        <w:rPr>
          <w:rFonts w:cs="Open Sans"/>
        </w:rPr>
        <w:t>akým faktorům věnovat pozornost</w:t>
      </w:r>
      <w:r>
        <w:rPr>
          <w:rFonts w:cs="Open Sans"/>
        </w:rPr>
        <w:t xml:space="preserve"> při investování do nemovitostí</w:t>
      </w:r>
      <w:r w:rsidRPr="00F45534">
        <w:rPr>
          <w:rFonts w:cs="Open Sans"/>
        </w:rPr>
        <w:t>, vysvětluje investiční specialista Jiří Fajt ze společnosti FinGO</w:t>
      </w:r>
      <w:r>
        <w:rPr>
          <w:rFonts w:cs="Open Sans"/>
        </w:rPr>
        <w:t xml:space="preserve">: </w:t>
      </w:r>
      <w:r w:rsidRPr="00F45534">
        <w:rPr>
          <w:rFonts w:cs="Open Sans"/>
          <w:i/>
          <w:iCs/>
        </w:rPr>
        <w:t>„</w:t>
      </w:r>
      <w:r w:rsidR="00A46B10" w:rsidRPr="00A46B10">
        <w:rPr>
          <w:rFonts w:cs="Open Sans"/>
          <w:i/>
          <w:iCs/>
        </w:rPr>
        <w:t>Nemovitostní trh může v určitých podmínkách nabídnout zajímavé příležitosti jak pro ochranu kapitálu před inflací, tak pro jeho dlouhodobé zhodnocení</w:t>
      </w:r>
      <w:r w:rsidRPr="00F45534">
        <w:rPr>
          <w:rFonts w:cs="Open Sans"/>
          <w:i/>
          <w:iCs/>
        </w:rPr>
        <w:t>. Zásadní je však pochopit, že neexistuje univerzálně nejvýhodnější forma – pro každého investora může být vhodné něco jiného v</w:t>
      </w:r>
      <w:r w:rsidR="003F6CED">
        <w:rPr>
          <w:rFonts w:cs="Open Sans"/>
          <w:i/>
          <w:iCs/>
        </w:rPr>
        <w:t> </w:t>
      </w:r>
      <w:r w:rsidRPr="00F45534">
        <w:rPr>
          <w:rFonts w:cs="Open Sans"/>
          <w:i/>
          <w:iCs/>
        </w:rPr>
        <w:t>závislosti na jeho finančních možnostech, investičním horizontu a ochotě aktivně se o investici starat,</w:t>
      </w:r>
      <w:r w:rsidR="007F2559">
        <w:rPr>
          <w:rFonts w:cs="Open Sans"/>
          <w:i/>
          <w:iCs/>
        </w:rPr>
        <w:t>“</w:t>
      </w:r>
      <w:r w:rsidR="003F6CED">
        <w:rPr>
          <w:rFonts w:cs="Open Sans"/>
        </w:rPr>
        <w:t xml:space="preserve"> říká.</w:t>
      </w:r>
    </w:p>
    <w:p w14:paraId="2C7E15F4" w14:textId="77777777" w:rsidR="007F2559" w:rsidRPr="007F2559" w:rsidRDefault="007F2559" w:rsidP="007F2559">
      <w:pPr>
        <w:rPr>
          <w:rFonts w:cs="Open Sans"/>
          <w:b/>
          <w:bCs/>
        </w:rPr>
      </w:pPr>
      <w:r w:rsidRPr="007F2559">
        <w:rPr>
          <w:rFonts w:cs="Open Sans"/>
          <w:b/>
          <w:bCs/>
        </w:rPr>
        <w:t>Přímé investice do nemovitostí: Stabilita s vysokými nároky</w:t>
      </w:r>
    </w:p>
    <w:p w14:paraId="7C1D027C" w14:textId="28705198" w:rsidR="007F2559" w:rsidRPr="007F2559" w:rsidRDefault="00BA4F2A" w:rsidP="007F2559">
      <w:pPr>
        <w:rPr>
          <w:rFonts w:cs="Open Sans"/>
        </w:rPr>
      </w:pPr>
      <w:r w:rsidRPr="00BA4F2A">
        <w:rPr>
          <w:rFonts w:cs="Open Sans"/>
        </w:rPr>
        <w:t>Častou formou investice do nemovitostí je přímé vlastnictví bytu nebo domu. Investorům může nabídnout stabilní příjem z nájmu, určitou ochranu proti inflaci a možnost využít hypotéku jako finanční páku.</w:t>
      </w:r>
      <w:r w:rsidR="007F2559" w:rsidRPr="007F2559">
        <w:rPr>
          <w:rFonts w:cs="Open Sans"/>
        </w:rPr>
        <w:t xml:space="preserve"> </w:t>
      </w:r>
      <w:r w:rsidR="007F2559" w:rsidRPr="007F2559">
        <w:rPr>
          <w:rFonts w:cs="Open Sans"/>
          <w:i/>
          <w:iCs/>
        </w:rPr>
        <w:t>„Přímé vlastnictví nemovitosti dává investorovi plnou kontrolu a psychologický pocit hmotného majetku, což mnoho lidí oceňuje. Navíc můžete nemovitost zhodnotit rekonstrukcí nebo těžit z rozvoje lokality,“</w:t>
      </w:r>
      <w:r w:rsidR="007F2559" w:rsidRPr="007F2559">
        <w:rPr>
          <w:rFonts w:cs="Open Sans"/>
        </w:rPr>
        <w:t xml:space="preserve"> říká </w:t>
      </w:r>
      <w:r w:rsidR="007F2559">
        <w:rPr>
          <w:rFonts w:cs="Open Sans"/>
        </w:rPr>
        <w:t xml:space="preserve">Jiří </w:t>
      </w:r>
      <w:r w:rsidR="007F2559" w:rsidRPr="007F2559">
        <w:rPr>
          <w:rFonts w:cs="Open Sans"/>
        </w:rPr>
        <w:t>Fajt.</w:t>
      </w:r>
    </w:p>
    <w:p w14:paraId="7FF54EDF" w14:textId="3025111E" w:rsidR="007F2559" w:rsidRPr="007F2559" w:rsidRDefault="007F2559" w:rsidP="007F2559">
      <w:pPr>
        <w:rPr>
          <w:rFonts w:cs="Open Sans"/>
        </w:rPr>
      </w:pPr>
      <w:r w:rsidRPr="007F2559">
        <w:rPr>
          <w:rFonts w:cs="Open Sans"/>
        </w:rPr>
        <w:t xml:space="preserve">Tato forma investice však vyžaduje vysokou vstupní investici a nese s sebou nízkou likviditu – prodej může trvat měsíce. </w:t>
      </w:r>
      <w:r w:rsidRPr="007F2559">
        <w:rPr>
          <w:rFonts w:cs="Open Sans"/>
          <w:i/>
          <w:iCs/>
        </w:rPr>
        <w:t>„Mnoho začínajících investorů podceňuje náročnost správy nemovitosti včetně řešení problémů s nájemníky, údržby a administrativy. K tomu je třeba připočítat náklady na fond oprav, daně a pojištění, stejně jako riziko neobsazenosti,“</w:t>
      </w:r>
      <w:r w:rsidRPr="007F2559">
        <w:rPr>
          <w:rFonts w:cs="Open Sans"/>
        </w:rPr>
        <w:t xml:space="preserve"> upozorňuje </w:t>
      </w:r>
      <w:r>
        <w:rPr>
          <w:rFonts w:cs="Open Sans"/>
        </w:rPr>
        <w:t>Fajt</w:t>
      </w:r>
      <w:r w:rsidRPr="007F2559">
        <w:rPr>
          <w:rFonts w:cs="Open Sans"/>
        </w:rPr>
        <w:t>.</w:t>
      </w:r>
    </w:p>
    <w:p w14:paraId="00DFBCB9" w14:textId="77777777" w:rsidR="007F2559" w:rsidRPr="007F2559" w:rsidRDefault="007F2559" w:rsidP="007F2559">
      <w:pPr>
        <w:rPr>
          <w:rFonts w:cs="Open Sans"/>
          <w:b/>
          <w:bCs/>
        </w:rPr>
      </w:pPr>
      <w:r w:rsidRPr="007F2559">
        <w:rPr>
          <w:rFonts w:cs="Open Sans"/>
          <w:b/>
          <w:bCs/>
        </w:rPr>
        <w:t>Realitní podílové fondy: Přístupná alternativa s profesionální správou</w:t>
      </w:r>
    </w:p>
    <w:p w14:paraId="2257B47D" w14:textId="1E26EB12" w:rsidR="007F2559" w:rsidRPr="007F2559" w:rsidRDefault="007F2559" w:rsidP="007F2559">
      <w:pPr>
        <w:rPr>
          <w:rFonts w:cs="Open Sans"/>
        </w:rPr>
      </w:pPr>
      <w:r w:rsidRPr="007F2559">
        <w:rPr>
          <w:rFonts w:cs="Open Sans"/>
        </w:rPr>
        <w:t xml:space="preserve">Pro investory s nižším kapitálem představují realitní podílové fondy zajímavou alternativu. </w:t>
      </w:r>
      <w:r w:rsidRPr="00A90ED4">
        <w:rPr>
          <w:rFonts w:cs="Open Sans"/>
          <w:i/>
          <w:iCs/>
        </w:rPr>
        <w:t>„</w:t>
      </w:r>
      <w:r w:rsidR="00A90ED4">
        <w:rPr>
          <w:rFonts w:cs="Open Sans"/>
          <w:i/>
          <w:iCs/>
        </w:rPr>
        <w:t>H</w:t>
      </w:r>
      <w:r w:rsidRPr="007F2559">
        <w:rPr>
          <w:rFonts w:cs="Open Sans"/>
          <w:i/>
          <w:iCs/>
        </w:rPr>
        <w:t>lavní výhodou</w:t>
      </w:r>
      <w:r w:rsidR="00A90ED4">
        <w:rPr>
          <w:rFonts w:cs="Open Sans"/>
          <w:i/>
          <w:iCs/>
        </w:rPr>
        <w:t xml:space="preserve"> podílových fondů</w:t>
      </w:r>
      <w:r w:rsidRPr="007F2559">
        <w:rPr>
          <w:rFonts w:cs="Open Sans"/>
          <w:i/>
          <w:iCs/>
        </w:rPr>
        <w:t xml:space="preserve"> je nízká</w:t>
      </w:r>
      <w:r w:rsidR="005D16E9">
        <w:rPr>
          <w:rFonts w:cs="Open Sans"/>
          <w:i/>
          <w:iCs/>
        </w:rPr>
        <w:t xml:space="preserve"> </w:t>
      </w:r>
      <w:r w:rsidRPr="007F2559">
        <w:rPr>
          <w:rFonts w:cs="Open Sans"/>
          <w:i/>
          <w:iCs/>
        </w:rPr>
        <w:t xml:space="preserve">vstupní investice často už od </w:t>
      </w:r>
      <w:r w:rsidR="00912C31">
        <w:rPr>
          <w:rFonts w:cs="Open Sans"/>
          <w:i/>
          <w:iCs/>
        </w:rPr>
        <w:t>pěti set korun</w:t>
      </w:r>
      <w:r w:rsidRPr="007F2559">
        <w:rPr>
          <w:rFonts w:cs="Open Sans"/>
          <w:i/>
          <w:iCs/>
        </w:rPr>
        <w:t xml:space="preserve">, dobrá likvidita a diverzifikace, jelikož fond drží desítky nemovitostí. O vše se navíc stará profesionální </w:t>
      </w:r>
      <w:r w:rsidR="00556F99">
        <w:rPr>
          <w:rFonts w:cs="Open Sans"/>
          <w:i/>
          <w:iCs/>
        </w:rPr>
        <w:t>investiční tým</w:t>
      </w:r>
      <w:r w:rsidRPr="007F2559">
        <w:rPr>
          <w:rFonts w:cs="Open Sans"/>
          <w:i/>
          <w:iCs/>
        </w:rPr>
        <w:t>,</w:t>
      </w:r>
      <w:r w:rsidRPr="00A90ED4">
        <w:rPr>
          <w:rFonts w:cs="Open Sans"/>
          <w:i/>
          <w:iCs/>
        </w:rPr>
        <w:t>“</w:t>
      </w:r>
      <w:r w:rsidRPr="007F2559">
        <w:rPr>
          <w:rFonts w:cs="Open Sans"/>
        </w:rPr>
        <w:t xml:space="preserve"> vysvětluje Jiří Fajt.</w:t>
      </w:r>
    </w:p>
    <w:p w14:paraId="19B3EA7E" w14:textId="2512058A" w:rsidR="007F2559" w:rsidRPr="007F2559" w:rsidRDefault="007F2559" w:rsidP="007F2559">
      <w:pPr>
        <w:rPr>
          <w:rFonts w:cs="Open Sans"/>
        </w:rPr>
      </w:pPr>
      <w:r w:rsidRPr="007F2559">
        <w:rPr>
          <w:rFonts w:cs="Open Sans"/>
        </w:rPr>
        <w:t xml:space="preserve">I tato forma má však svá rizika. </w:t>
      </w:r>
      <w:r w:rsidRPr="00DE14A0">
        <w:rPr>
          <w:rFonts w:cs="Open Sans"/>
          <w:i/>
          <w:iCs/>
        </w:rPr>
        <w:t>„</w:t>
      </w:r>
      <w:r w:rsidRPr="007F2559">
        <w:rPr>
          <w:rFonts w:cs="Open Sans"/>
          <w:i/>
          <w:iCs/>
        </w:rPr>
        <w:t>Investoři by měli věnovat pozornost ukazatelům jako je Yield, tedy výnos z nájmů, WAULT, který ukazuje průměrnou váženou dobu trvání nájemních smluv, nebo LTV, což je poměr úvěru k hodnotě nemovitostí. Zásadní je také způsob oceňování nemovitostí ve fondu,</w:t>
      </w:r>
      <w:r w:rsidRPr="00DE14A0">
        <w:rPr>
          <w:rFonts w:cs="Open Sans"/>
          <w:i/>
          <w:iCs/>
        </w:rPr>
        <w:t>“</w:t>
      </w:r>
      <w:r w:rsidRPr="007F2559">
        <w:rPr>
          <w:rFonts w:cs="Open Sans"/>
        </w:rPr>
        <w:t xml:space="preserve"> radí Fajt.</w:t>
      </w:r>
    </w:p>
    <w:p w14:paraId="2637A2E7" w14:textId="77777777" w:rsidR="007F2559" w:rsidRPr="007F2559" w:rsidRDefault="007F2559" w:rsidP="007F2559">
      <w:pPr>
        <w:rPr>
          <w:rFonts w:cs="Open Sans"/>
          <w:b/>
          <w:bCs/>
        </w:rPr>
      </w:pPr>
      <w:r w:rsidRPr="007F2559">
        <w:rPr>
          <w:rFonts w:cs="Open Sans"/>
          <w:b/>
          <w:bCs/>
        </w:rPr>
        <w:t>REITs: Investice do nemovitostí přes burzu</w:t>
      </w:r>
    </w:p>
    <w:p w14:paraId="3F713FD0" w14:textId="0F5EB264" w:rsidR="007F2559" w:rsidRPr="007F2559" w:rsidRDefault="007F2559" w:rsidP="007F2559">
      <w:pPr>
        <w:rPr>
          <w:rFonts w:cs="Open Sans"/>
        </w:rPr>
      </w:pPr>
      <w:r w:rsidRPr="007F2559">
        <w:rPr>
          <w:rFonts w:cs="Open Sans"/>
        </w:rPr>
        <w:t xml:space="preserve">REITs, neboli Real Estate Investment Trusts, představují další možnost, jak investovat do nemovitostí. </w:t>
      </w:r>
      <w:r w:rsidRPr="00723A7F">
        <w:rPr>
          <w:rFonts w:cs="Open Sans"/>
          <w:i/>
          <w:iCs/>
        </w:rPr>
        <w:t>„</w:t>
      </w:r>
      <w:r w:rsidRPr="007F2559">
        <w:rPr>
          <w:rFonts w:cs="Open Sans"/>
          <w:i/>
          <w:iCs/>
        </w:rPr>
        <w:t xml:space="preserve">Jejich velkou výhodou je vysoká likvidita díky obchodování na burze, možnost </w:t>
      </w:r>
      <w:r w:rsidRPr="007F2559">
        <w:rPr>
          <w:rFonts w:cs="Open Sans"/>
          <w:i/>
          <w:iCs/>
        </w:rPr>
        <w:lastRenderedPageBreak/>
        <w:t>investovat do nemovitostí v zahraničí a pravidelné dividendy, protože REITy musí většinu zisku vyplácet,</w:t>
      </w:r>
      <w:r w:rsidRPr="00723A7F">
        <w:rPr>
          <w:rFonts w:cs="Open Sans"/>
          <w:i/>
          <w:iCs/>
        </w:rPr>
        <w:t>“</w:t>
      </w:r>
      <w:r w:rsidRPr="007F2559">
        <w:rPr>
          <w:rFonts w:cs="Open Sans"/>
        </w:rPr>
        <w:t xml:space="preserve"> vysvětluje Fajt.</w:t>
      </w:r>
    </w:p>
    <w:p w14:paraId="76A9E01E" w14:textId="735151AA" w:rsidR="007F2559" w:rsidRPr="007F2559" w:rsidRDefault="007F2559" w:rsidP="007F2559">
      <w:pPr>
        <w:rPr>
          <w:rFonts w:cs="Open Sans"/>
        </w:rPr>
      </w:pPr>
      <w:r w:rsidRPr="007F2559">
        <w:rPr>
          <w:rFonts w:cs="Open Sans"/>
        </w:rPr>
        <w:t xml:space="preserve">Na druhou stranu je třeba počítat s vyšší volatilitou, měnovým rizikem u zahraničních REITů a </w:t>
      </w:r>
      <w:r w:rsidR="00236FB7" w:rsidRPr="00236FB7">
        <w:rPr>
          <w:rFonts w:cs="Open Sans"/>
        </w:rPr>
        <w:t>se skutečností, že vyplacené dividendy podléhají zdanění</w:t>
      </w:r>
      <w:r w:rsidRPr="007F2559">
        <w:rPr>
          <w:rFonts w:cs="Open Sans"/>
        </w:rPr>
        <w:t xml:space="preserve">. </w:t>
      </w:r>
      <w:r w:rsidRPr="00723A7F">
        <w:rPr>
          <w:rFonts w:cs="Open Sans"/>
          <w:i/>
          <w:iCs/>
        </w:rPr>
        <w:t>„</w:t>
      </w:r>
      <w:r w:rsidRPr="007F2559">
        <w:rPr>
          <w:rFonts w:cs="Open Sans"/>
          <w:i/>
          <w:iCs/>
        </w:rPr>
        <w:t>REITy také vykazují poměrně vysokou korelaci s</w:t>
      </w:r>
      <w:r w:rsidR="00723A7F">
        <w:rPr>
          <w:rFonts w:cs="Open Sans"/>
          <w:i/>
          <w:iCs/>
        </w:rPr>
        <w:t> </w:t>
      </w:r>
      <w:r w:rsidRPr="007F2559">
        <w:rPr>
          <w:rFonts w:cs="Open Sans"/>
          <w:i/>
          <w:iCs/>
        </w:rPr>
        <w:t>akciovými trhy, takže neposkytují takovou diverzifikaci, jak by se mohlo na první pohled zdát,</w:t>
      </w:r>
      <w:r w:rsidRPr="00723A7F">
        <w:rPr>
          <w:rFonts w:cs="Open Sans"/>
          <w:i/>
          <w:iCs/>
        </w:rPr>
        <w:t>“</w:t>
      </w:r>
      <w:r w:rsidRPr="007F2559">
        <w:rPr>
          <w:rFonts w:cs="Open Sans"/>
        </w:rPr>
        <w:t xml:space="preserve"> doplňuje investiční specialista.</w:t>
      </w:r>
    </w:p>
    <w:p w14:paraId="6E07E76A" w14:textId="77777777" w:rsidR="007F2559" w:rsidRPr="007F2559" w:rsidRDefault="007F2559" w:rsidP="007F2559">
      <w:pPr>
        <w:rPr>
          <w:rFonts w:cs="Open Sans"/>
          <w:b/>
          <w:bCs/>
        </w:rPr>
      </w:pPr>
      <w:r w:rsidRPr="007F2559">
        <w:rPr>
          <w:rFonts w:cs="Open Sans"/>
          <w:b/>
          <w:bCs/>
        </w:rPr>
        <w:t>Fondy kvalifikovaných investorů: Exkluzivita s vyšším potenciálem</w:t>
      </w:r>
    </w:p>
    <w:p w14:paraId="4045CBEA" w14:textId="12AC7793" w:rsidR="007F2559" w:rsidRPr="007F2559" w:rsidRDefault="007F2559" w:rsidP="007F2559">
      <w:pPr>
        <w:rPr>
          <w:rFonts w:cs="Open Sans"/>
        </w:rPr>
      </w:pPr>
      <w:r w:rsidRPr="007F2559">
        <w:rPr>
          <w:rFonts w:cs="Open Sans"/>
        </w:rPr>
        <w:t>Fondy kvalifikovaných investorů (FKI) umožňují přístup k zajímavým projektům, jako jsou logistické areály, retail parky nebo hotely.</w:t>
      </w:r>
      <w:r w:rsidR="00723A7F">
        <w:rPr>
          <w:rFonts w:cs="Open Sans"/>
        </w:rPr>
        <w:t xml:space="preserve"> </w:t>
      </w:r>
      <w:r w:rsidRPr="00723A7F">
        <w:rPr>
          <w:rFonts w:cs="Open Sans"/>
          <w:i/>
          <w:iCs/>
        </w:rPr>
        <w:t>„</w:t>
      </w:r>
      <w:r w:rsidRPr="007F2559">
        <w:rPr>
          <w:rFonts w:cs="Open Sans"/>
          <w:i/>
          <w:iCs/>
        </w:rPr>
        <w:t>FKI mohou nabídnout vyšší výnos než retailové fondy, ale jsou dostupné jen investorům s větším kapitálem, obvykle od 1 milionu korun výše,</w:t>
      </w:r>
      <w:r w:rsidRPr="00723A7F">
        <w:rPr>
          <w:rFonts w:cs="Open Sans"/>
          <w:i/>
          <w:iCs/>
        </w:rPr>
        <w:t>“</w:t>
      </w:r>
      <w:r w:rsidRPr="007F2559">
        <w:rPr>
          <w:rFonts w:cs="Open Sans"/>
        </w:rPr>
        <w:t xml:space="preserve"> říká Fajt.</w:t>
      </w:r>
    </w:p>
    <w:p w14:paraId="50AC93F8" w14:textId="3BEA7B7A" w:rsidR="007F2559" w:rsidRPr="007F2559" w:rsidRDefault="007F2559" w:rsidP="007F2559">
      <w:pPr>
        <w:rPr>
          <w:rFonts w:cs="Open Sans"/>
        </w:rPr>
      </w:pPr>
      <w:r w:rsidRPr="00723A7F">
        <w:rPr>
          <w:rFonts w:cs="Open Sans"/>
          <w:i/>
          <w:iCs/>
        </w:rPr>
        <w:t>„</w:t>
      </w:r>
      <w:r w:rsidRPr="007F2559">
        <w:rPr>
          <w:rFonts w:cs="Open Sans"/>
          <w:i/>
          <w:iCs/>
        </w:rPr>
        <w:t>Zásadním nedostatkem FKI je nízká likvidita, kdy výstupy jsou možné jen v předem stanovených intervalech, často pouze jednou ročně. Nižší je také úroveň regulace a investorské ochrany</w:t>
      </w:r>
      <w:r w:rsidR="00197F73">
        <w:rPr>
          <w:rFonts w:cs="Open Sans"/>
          <w:i/>
          <w:iCs/>
        </w:rPr>
        <w:t xml:space="preserve">, fondy </w:t>
      </w:r>
      <w:r w:rsidR="00197F73" w:rsidRPr="00197F73">
        <w:rPr>
          <w:rFonts w:cs="Open Sans"/>
          <w:i/>
          <w:iCs/>
        </w:rPr>
        <w:t xml:space="preserve">drží menší část hotovosti na případné zpětné odkupy a mohou být poměrně </w:t>
      </w:r>
      <w:r w:rsidR="0061730E">
        <w:rPr>
          <w:rFonts w:cs="Open Sans"/>
          <w:i/>
          <w:iCs/>
        </w:rPr>
        <w:t>výrazně</w:t>
      </w:r>
      <w:r w:rsidR="00197F73" w:rsidRPr="00197F73">
        <w:rPr>
          <w:rFonts w:cs="Open Sans"/>
          <w:i/>
          <w:iCs/>
        </w:rPr>
        <w:t xml:space="preserve"> zadlužené</w:t>
      </w:r>
      <w:r w:rsidRPr="007F2559">
        <w:rPr>
          <w:rFonts w:cs="Open Sans"/>
          <w:i/>
          <w:iCs/>
        </w:rPr>
        <w:t>. Některé FKI navíc investují jen do omezeného počtu projektů, což zvyšuje riziko,</w:t>
      </w:r>
      <w:r w:rsidRPr="00723A7F">
        <w:rPr>
          <w:rFonts w:cs="Open Sans"/>
          <w:i/>
          <w:iCs/>
        </w:rPr>
        <w:t>“</w:t>
      </w:r>
      <w:r w:rsidRPr="007F2559">
        <w:rPr>
          <w:rFonts w:cs="Open Sans"/>
        </w:rPr>
        <w:t xml:space="preserve"> varuje odborník.</w:t>
      </w:r>
    </w:p>
    <w:p w14:paraId="07B56145" w14:textId="77777777" w:rsidR="007F2559" w:rsidRPr="007F2559" w:rsidRDefault="007F2559" w:rsidP="007F2559">
      <w:pPr>
        <w:rPr>
          <w:rFonts w:cs="Open Sans"/>
          <w:b/>
          <w:bCs/>
        </w:rPr>
      </w:pPr>
      <w:r w:rsidRPr="007F2559">
        <w:rPr>
          <w:rFonts w:cs="Open Sans"/>
          <w:b/>
          <w:bCs/>
        </w:rPr>
        <w:t>Korporátní dluhopisy: Lákavé výnosy, ale vysoká rizika</w:t>
      </w:r>
    </w:p>
    <w:p w14:paraId="5461552E" w14:textId="437B798D" w:rsidR="007F2559" w:rsidRPr="007F2559" w:rsidRDefault="007F2559" w:rsidP="007F2559">
      <w:pPr>
        <w:rPr>
          <w:rFonts w:cs="Open Sans"/>
        </w:rPr>
      </w:pPr>
      <w:r w:rsidRPr="007F2559">
        <w:rPr>
          <w:rFonts w:cs="Open Sans"/>
        </w:rPr>
        <w:t xml:space="preserve">V posledních letech se na českém trhu objevila řada korporátních dluhopisů napojených na nemovitostní projekty. </w:t>
      </w:r>
      <w:r w:rsidRPr="009D2F8F">
        <w:rPr>
          <w:rFonts w:cs="Open Sans"/>
          <w:i/>
          <w:iCs/>
        </w:rPr>
        <w:t>„</w:t>
      </w:r>
      <w:r w:rsidRPr="007F2559">
        <w:rPr>
          <w:rFonts w:cs="Open Sans"/>
          <w:i/>
          <w:iCs/>
        </w:rPr>
        <w:t xml:space="preserve">Tyto dluhopisy často lákají na vysoký výnos </w:t>
      </w:r>
      <w:r w:rsidR="009D2F8F">
        <w:rPr>
          <w:rFonts w:cs="Open Sans"/>
          <w:i/>
          <w:iCs/>
        </w:rPr>
        <w:t>sedm až deset procent</w:t>
      </w:r>
      <w:r w:rsidRPr="007F2559">
        <w:rPr>
          <w:rFonts w:cs="Open Sans"/>
          <w:i/>
          <w:iCs/>
        </w:rPr>
        <w:t xml:space="preserve"> ročně, ale rizika bývají podstatně vyšší, než si investoři uvědomují,</w:t>
      </w:r>
      <w:r w:rsidRPr="009D2F8F">
        <w:rPr>
          <w:rFonts w:cs="Open Sans"/>
          <w:i/>
          <w:iCs/>
        </w:rPr>
        <w:t>“</w:t>
      </w:r>
      <w:r w:rsidRPr="007F2559">
        <w:rPr>
          <w:rFonts w:cs="Open Sans"/>
        </w:rPr>
        <w:t xml:space="preserve"> upozorňuje Jiří Fajt.</w:t>
      </w:r>
    </w:p>
    <w:p w14:paraId="350D99A2" w14:textId="06B7A75E" w:rsidR="007F2559" w:rsidRPr="007F2559" w:rsidRDefault="007F2559" w:rsidP="007F2559">
      <w:pPr>
        <w:rPr>
          <w:rFonts w:cs="Open Sans"/>
        </w:rPr>
      </w:pPr>
      <w:r w:rsidRPr="00CC5200">
        <w:rPr>
          <w:rFonts w:cs="Open Sans"/>
          <w:i/>
          <w:iCs/>
        </w:rPr>
        <w:t>„</w:t>
      </w:r>
      <w:r w:rsidRPr="007F2559">
        <w:rPr>
          <w:rFonts w:cs="Open Sans"/>
          <w:i/>
          <w:iCs/>
        </w:rPr>
        <w:t xml:space="preserve">Mnoho emisí je nezajištěných, což znamená, že v případě krachu emitenta může investor přijít o celý </w:t>
      </w:r>
      <w:r w:rsidR="00063B10">
        <w:rPr>
          <w:rFonts w:cs="Open Sans"/>
          <w:i/>
          <w:iCs/>
        </w:rPr>
        <w:t>investovaný kapitál</w:t>
      </w:r>
      <w:r w:rsidRPr="007F2559">
        <w:rPr>
          <w:rFonts w:cs="Open Sans"/>
          <w:i/>
          <w:iCs/>
        </w:rPr>
        <w:t>. Dluhopisy také nejsou pojištěné ani garantované. Klíčové je proto zkoumat nejen pro</w:t>
      </w:r>
      <w:r w:rsidR="00430FEE">
        <w:rPr>
          <w:rFonts w:cs="Open Sans"/>
          <w:i/>
          <w:iCs/>
        </w:rPr>
        <w:t>pagační</w:t>
      </w:r>
      <w:r w:rsidRPr="007F2559">
        <w:rPr>
          <w:rFonts w:cs="Open Sans"/>
          <w:i/>
          <w:iCs/>
        </w:rPr>
        <w:t xml:space="preserve"> materiály</w:t>
      </w:r>
      <w:r w:rsidR="00430FEE">
        <w:rPr>
          <w:rFonts w:cs="Open Sans"/>
          <w:i/>
          <w:iCs/>
        </w:rPr>
        <w:t xml:space="preserve"> k daným dluhopisům</w:t>
      </w:r>
      <w:r w:rsidRPr="007F2559">
        <w:rPr>
          <w:rFonts w:cs="Open Sans"/>
          <w:i/>
          <w:iCs/>
        </w:rPr>
        <w:t>, ale především emisní podmínky a účetní výkazy,</w:t>
      </w:r>
      <w:r w:rsidRPr="00CC5200">
        <w:rPr>
          <w:rFonts w:cs="Open Sans"/>
          <w:i/>
          <w:iCs/>
        </w:rPr>
        <w:t>“</w:t>
      </w:r>
      <w:r w:rsidRPr="007F2559">
        <w:rPr>
          <w:rFonts w:cs="Open Sans"/>
        </w:rPr>
        <w:t xml:space="preserve"> radí.</w:t>
      </w:r>
    </w:p>
    <w:p w14:paraId="65CBA01C" w14:textId="39D77FF0" w:rsidR="007F2559" w:rsidRDefault="007F2559" w:rsidP="007F2559">
      <w:pPr>
        <w:rPr>
          <w:rFonts w:cs="Open Sans"/>
        </w:rPr>
      </w:pPr>
      <w:r w:rsidRPr="00CC5200">
        <w:rPr>
          <w:rFonts w:cs="Open Sans"/>
          <w:i/>
          <w:iCs/>
        </w:rPr>
        <w:t>„</w:t>
      </w:r>
      <w:r w:rsidRPr="007F2559">
        <w:rPr>
          <w:rFonts w:cs="Open Sans"/>
          <w:i/>
          <w:iCs/>
        </w:rPr>
        <w:t xml:space="preserve">Překvapivě malý může být rozdíl mezi výnosem bezpečného státního dluhopisu a rizikového korporátního dluhopisu. Pokud například český státní dluhopis nabízí výnos 4 </w:t>
      </w:r>
      <w:r w:rsidR="001C2B99">
        <w:rPr>
          <w:rFonts w:cs="Open Sans"/>
          <w:i/>
          <w:iCs/>
        </w:rPr>
        <w:t>procenta</w:t>
      </w:r>
      <w:r w:rsidRPr="007F2559">
        <w:rPr>
          <w:rFonts w:cs="Open Sans"/>
          <w:i/>
          <w:iCs/>
        </w:rPr>
        <w:t xml:space="preserve"> a</w:t>
      </w:r>
      <w:r w:rsidR="00035FAF">
        <w:rPr>
          <w:rFonts w:cs="Open Sans"/>
          <w:i/>
          <w:iCs/>
        </w:rPr>
        <w:t> </w:t>
      </w:r>
      <w:r w:rsidRPr="007F2559">
        <w:rPr>
          <w:rFonts w:cs="Open Sans"/>
          <w:i/>
          <w:iCs/>
        </w:rPr>
        <w:t xml:space="preserve">dluhopis developerské firmy 6 </w:t>
      </w:r>
      <w:r w:rsidR="00476146">
        <w:rPr>
          <w:rFonts w:cs="Open Sans"/>
          <w:i/>
          <w:iCs/>
        </w:rPr>
        <w:t>procent</w:t>
      </w:r>
      <w:r w:rsidRPr="007F2559">
        <w:rPr>
          <w:rFonts w:cs="Open Sans"/>
          <w:i/>
          <w:iCs/>
        </w:rPr>
        <w:t xml:space="preserve">, rozdíl činí pouze </w:t>
      </w:r>
      <w:r w:rsidR="00A8653F">
        <w:rPr>
          <w:rFonts w:cs="Open Sans"/>
          <w:i/>
          <w:iCs/>
        </w:rPr>
        <w:t>dva</w:t>
      </w:r>
      <w:r w:rsidRPr="007F2559">
        <w:rPr>
          <w:rFonts w:cs="Open Sans"/>
          <w:i/>
          <w:iCs/>
        </w:rPr>
        <w:t xml:space="preserve"> procentní body</w:t>
      </w:r>
      <w:r w:rsidR="006164E5">
        <w:rPr>
          <w:rFonts w:cs="Open Sans"/>
          <w:i/>
          <w:iCs/>
        </w:rPr>
        <w:t>.</w:t>
      </w:r>
      <w:r w:rsidRPr="007F2559">
        <w:rPr>
          <w:rFonts w:cs="Open Sans"/>
          <w:i/>
          <w:iCs/>
        </w:rPr>
        <w:t xml:space="preserve"> </w:t>
      </w:r>
      <w:r w:rsidR="006164E5" w:rsidRPr="006164E5">
        <w:rPr>
          <w:rFonts w:cs="Open Sans"/>
          <w:i/>
          <w:iCs/>
        </w:rPr>
        <w:t>Vzhledem k</w:t>
      </w:r>
      <w:r w:rsidR="000458D0">
        <w:rPr>
          <w:rFonts w:cs="Open Sans"/>
          <w:i/>
          <w:iCs/>
        </w:rPr>
        <w:t> </w:t>
      </w:r>
      <w:r w:rsidR="006164E5" w:rsidRPr="006164E5">
        <w:rPr>
          <w:rFonts w:cs="Open Sans"/>
          <w:i/>
          <w:iCs/>
        </w:rPr>
        <w:t>výrazně vyššímu kreditnímu riziku je taková prémie pro investora často nedostatečná</w:t>
      </w:r>
      <w:r w:rsidRPr="007F2559">
        <w:rPr>
          <w:rFonts w:cs="Open Sans"/>
          <w:i/>
          <w:iCs/>
        </w:rPr>
        <w:t>,</w:t>
      </w:r>
      <w:r w:rsidRPr="00CC5200">
        <w:rPr>
          <w:rFonts w:cs="Open Sans"/>
          <w:i/>
          <w:iCs/>
        </w:rPr>
        <w:t>“</w:t>
      </w:r>
      <w:r w:rsidRPr="007F2559">
        <w:rPr>
          <w:rFonts w:cs="Open Sans"/>
        </w:rPr>
        <w:t xml:space="preserve"> vysvětluje Fajt.</w:t>
      </w:r>
    </w:p>
    <w:p w14:paraId="55928CE0" w14:textId="7D16FAAC" w:rsidR="00C0738E" w:rsidRDefault="00C0738E" w:rsidP="007F2559">
      <w:pPr>
        <w:rPr>
          <w:rFonts w:cs="Open Sans"/>
          <w:b/>
          <w:bCs/>
        </w:rPr>
      </w:pPr>
      <w:r w:rsidRPr="00C0738E">
        <w:rPr>
          <w:rFonts w:cs="Open Sans"/>
          <w:b/>
          <w:bCs/>
        </w:rPr>
        <w:t>Realitní crowdfunding</w:t>
      </w:r>
      <w:r>
        <w:rPr>
          <w:rFonts w:cs="Open Sans"/>
          <w:b/>
          <w:bCs/>
        </w:rPr>
        <w:t>: Malé i velké částky pro konkrétní projekty</w:t>
      </w:r>
    </w:p>
    <w:p w14:paraId="6D010C79" w14:textId="0713D482" w:rsidR="00C0738E" w:rsidRPr="00C0738E" w:rsidRDefault="00C0738E" w:rsidP="007F2559">
      <w:pPr>
        <w:rPr>
          <w:rFonts w:cs="Open Sans"/>
        </w:rPr>
      </w:pPr>
      <w:r w:rsidRPr="00C0738E">
        <w:rPr>
          <w:rFonts w:cs="Open Sans"/>
        </w:rPr>
        <w:t>Realitní crowdfunding je způsob investování do nemovitostí, který je dostupný i pro lidi s malým kapitálem. Stačí investovat několik stovek korun a můžete se podílet na financování konkrétních projektů. Nejčastěji to funguje tak, že investor půjčí peníze na určitý projekt, přičemž tyto peníze jsou</w:t>
      </w:r>
      <w:r w:rsidR="000458D0">
        <w:rPr>
          <w:rFonts w:cs="Open Sans"/>
        </w:rPr>
        <w:t xml:space="preserve"> často</w:t>
      </w:r>
      <w:r w:rsidRPr="00C0738E">
        <w:rPr>
          <w:rFonts w:cs="Open Sans"/>
        </w:rPr>
        <w:t xml:space="preserve"> zajištěny nemovitostí. Investoři dostávají pevný úrok pravidelně, zatímco původní investovaná částka je vrácena na konci projektu. Přestože tento způsob investování nabízí možnost pravidelného výdělku a rozšíření investičního portfolia, je důležité si uvědomit, že peníze jsou vázány po celou dobu trvání projektu a existují určitá rizika, jako je nedodržení termínu projektu nebo nesplacení </w:t>
      </w:r>
      <w:r w:rsidRPr="00C0738E">
        <w:rPr>
          <w:rFonts w:cs="Open Sans"/>
        </w:rPr>
        <w:lastRenderedPageBreak/>
        <w:t>dluhu. Jiří Fajt z FinGO upozorňuje, že je klíčové pečlivě sledovat podmínky projektů a zajištění.</w:t>
      </w:r>
    </w:p>
    <w:p w14:paraId="4FCA3E38" w14:textId="77777777" w:rsidR="007F2559" w:rsidRPr="007F2559" w:rsidRDefault="007F2559" w:rsidP="007F2559">
      <w:pPr>
        <w:rPr>
          <w:rFonts w:cs="Open Sans"/>
          <w:b/>
          <w:bCs/>
        </w:rPr>
      </w:pPr>
      <w:r w:rsidRPr="007F2559">
        <w:rPr>
          <w:rFonts w:cs="Open Sans"/>
          <w:b/>
          <w:bCs/>
        </w:rPr>
        <w:t>Na co si dát pozor při nemovitostních investicích</w:t>
      </w:r>
    </w:p>
    <w:p w14:paraId="1CC1C157" w14:textId="7C361B98" w:rsidR="007F2559" w:rsidRPr="007F2559" w:rsidRDefault="007F2559" w:rsidP="007F2559">
      <w:pPr>
        <w:rPr>
          <w:rFonts w:cs="Open Sans"/>
        </w:rPr>
      </w:pPr>
      <w:r w:rsidRPr="007F2559">
        <w:rPr>
          <w:rFonts w:cs="Open Sans"/>
        </w:rPr>
        <w:t xml:space="preserve">Investiční specialista Jiří Fajt zdůrazňuje, že nemovitosti mohou být stabilním pilířem investičního portfolia, ale rozhodně nejsou bezrizikovou sázkou. </w:t>
      </w:r>
      <w:r w:rsidRPr="00F42EAE">
        <w:rPr>
          <w:rFonts w:cs="Open Sans"/>
          <w:i/>
          <w:iCs/>
        </w:rPr>
        <w:t>„</w:t>
      </w:r>
      <w:r w:rsidRPr="007F2559">
        <w:rPr>
          <w:rFonts w:cs="Open Sans"/>
          <w:i/>
          <w:iCs/>
        </w:rPr>
        <w:t>Každý typ nemovitostní investice má svá specifická rizika, která je potřeba důkladně pochopit a zvážit. Doporučuji přistupovat ke každé investici s chladnou hlavou</w:t>
      </w:r>
      <w:r w:rsidR="00B41EB6" w:rsidRPr="00F42EAE">
        <w:rPr>
          <w:rFonts w:cs="Open Sans"/>
          <w:i/>
          <w:iCs/>
        </w:rPr>
        <w:t>.</w:t>
      </w:r>
      <w:r w:rsidRPr="007F2559">
        <w:rPr>
          <w:rFonts w:cs="Open Sans"/>
          <w:i/>
          <w:iCs/>
        </w:rPr>
        <w:t xml:space="preserve"> </w:t>
      </w:r>
      <w:r w:rsidR="00B41EB6" w:rsidRPr="00F42EAE">
        <w:rPr>
          <w:rFonts w:cs="Open Sans"/>
          <w:i/>
          <w:iCs/>
        </w:rPr>
        <w:t>N</w:t>
      </w:r>
      <w:r w:rsidRPr="007F2559">
        <w:rPr>
          <w:rFonts w:cs="Open Sans"/>
          <w:i/>
          <w:iCs/>
        </w:rPr>
        <w:t xml:space="preserve">ejen podle </w:t>
      </w:r>
      <w:r w:rsidR="0068081E">
        <w:rPr>
          <w:rFonts w:cs="Open Sans"/>
          <w:i/>
          <w:iCs/>
        </w:rPr>
        <w:t>marketingového letáku</w:t>
      </w:r>
      <w:r w:rsidRPr="007F2559">
        <w:rPr>
          <w:rFonts w:cs="Open Sans"/>
          <w:i/>
          <w:iCs/>
        </w:rPr>
        <w:t xml:space="preserve"> nebo slibovaného výnosu, ale s důrazem na data, diverzifikaci a dlouhodobou udržitelnost</w:t>
      </w:r>
      <w:r w:rsidR="00057716">
        <w:rPr>
          <w:rFonts w:cs="Open Sans"/>
          <w:i/>
          <w:iCs/>
        </w:rPr>
        <w:t xml:space="preserve"> investice</w:t>
      </w:r>
      <w:r w:rsidRPr="007F2559">
        <w:rPr>
          <w:rFonts w:cs="Open Sans"/>
          <w:i/>
          <w:iCs/>
        </w:rPr>
        <w:t>,</w:t>
      </w:r>
      <w:r w:rsidRPr="00F42EAE">
        <w:rPr>
          <w:rFonts w:cs="Open Sans"/>
          <w:i/>
          <w:iCs/>
        </w:rPr>
        <w:t>“</w:t>
      </w:r>
      <w:r w:rsidRPr="007F2559">
        <w:rPr>
          <w:rFonts w:cs="Open Sans"/>
          <w:i/>
          <w:iCs/>
        </w:rPr>
        <w:t xml:space="preserve"> </w:t>
      </w:r>
      <w:r w:rsidRPr="007F2559">
        <w:rPr>
          <w:rFonts w:cs="Open Sans"/>
        </w:rPr>
        <w:t>uzavírá.</w:t>
      </w:r>
    </w:p>
    <w:p w14:paraId="43ED0EAB" w14:textId="77777777" w:rsidR="00102EE3" w:rsidRDefault="00102EE3" w:rsidP="00C00401">
      <w:pPr>
        <w:rPr>
          <w:rFonts w:cs="Open Sans"/>
        </w:rPr>
      </w:pPr>
    </w:p>
    <w:p w14:paraId="57CEC546" w14:textId="0920A1D5" w:rsidR="00712072" w:rsidRPr="007622A0" w:rsidRDefault="00712072" w:rsidP="00C00401">
      <w:pPr>
        <w:rPr>
          <w:rFonts w:cs="Open Sans"/>
          <w:b/>
          <w:bCs/>
        </w:rPr>
      </w:pPr>
      <w:r w:rsidRPr="007622A0">
        <w:rPr>
          <w:rFonts w:cs="Open Sans"/>
          <w:b/>
          <w:bCs/>
          <w:i/>
          <w:iCs/>
          <w:sz w:val="20"/>
          <w:szCs w:val="20"/>
        </w:rPr>
        <w:t>O společnosti FinGO:</w:t>
      </w:r>
    </w:p>
    <w:p w14:paraId="3272E8CB" w14:textId="309EF551" w:rsidR="009C1B95" w:rsidRDefault="00712072" w:rsidP="00C00401">
      <w:pPr>
        <w:rPr>
          <w:rFonts w:cs="Open Sans"/>
          <w:i/>
          <w:iCs/>
          <w:sz w:val="20"/>
          <w:szCs w:val="20"/>
        </w:rPr>
      </w:pPr>
      <w:r w:rsidRPr="0085622D">
        <w:rPr>
          <w:rFonts w:cs="Open Sans"/>
          <w:i/>
          <w:iCs/>
          <w:sz w:val="20"/>
          <w:szCs w:val="20"/>
        </w:rPr>
        <w:t xml:space="preserve">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w:t>
      </w:r>
      <w:r w:rsidR="003C1A63">
        <w:rPr>
          <w:rFonts w:cs="Open Sans"/>
          <w:i/>
          <w:iCs/>
          <w:sz w:val="20"/>
          <w:szCs w:val="20"/>
        </w:rPr>
        <w:t>63</w:t>
      </w:r>
      <w:r w:rsidRPr="0085622D">
        <w:rPr>
          <w:rFonts w:cs="Open Sans"/>
          <w:i/>
          <w:iCs/>
          <w:sz w:val="20"/>
          <w:szCs w:val="20"/>
        </w:rPr>
        <w:t>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6FEFC148" w14:textId="52B26EB2" w:rsidR="0096059C" w:rsidRPr="0085622D" w:rsidRDefault="00640C88" w:rsidP="00C00401">
      <w:pPr>
        <w:rPr>
          <w:rFonts w:cs="Open Sans"/>
          <w:i/>
          <w:iCs/>
          <w:sz w:val="20"/>
          <w:szCs w:val="20"/>
        </w:rPr>
      </w:pPr>
      <w:r w:rsidRPr="0085622D">
        <w:rPr>
          <w:rFonts w:cs="Open Sans"/>
          <w:noProof/>
        </w:rPr>
        <w:drawing>
          <wp:anchor distT="0" distB="0" distL="114300" distR="114300" simplePos="0" relativeHeight="251665408" behindDoc="0" locked="0" layoutInCell="1" allowOverlap="1" wp14:anchorId="5942909A" wp14:editId="541BB038">
            <wp:simplePos x="0" y="0"/>
            <wp:positionH relativeFrom="margin">
              <wp:posOffset>5693410</wp:posOffset>
            </wp:positionH>
            <wp:positionV relativeFrom="paragraph">
              <wp:posOffset>1660525</wp:posOffset>
            </wp:positionV>
            <wp:extent cx="572135" cy="431800"/>
            <wp:effectExtent l="0" t="0" r="0" b="6350"/>
            <wp:wrapSquare wrapText="bothSides"/>
            <wp:docPr id="1430303569" name="Obráze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3360" behindDoc="0" locked="0" layoutInCell="1" allowOverlap="1" wp14:anchorId="53045D19" wp14:editId="2E564BD3">
            <wp:simplePos x="0" y="0"/>
            <wp:positionH relativeFrom="column">
              <wp:posOffset>5053330</wp:posOffset>
            </wp:positionH>
            <wp:positionV relativeFrom="paragraph">
              <wp:posOffset>1660525</wp:posOffset>
            </wp:positionV>
            <wp:extent cx="467995" cy="431800"/>
            <wp:effectExtent l="0" t="0" r="8255" b="6350"/>
            <wp:wrapSquare wrapText="bothSides"/>
            <wp:docPr id="415049230" name="Obrázek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1312" behindDoc="0" locked="0" layoutInCell="1" allowOverlap="1" wp14:anchorId="334490BB" wp14:editId="29A2D813">
            <wp:simplePos x="0" y="0"/>
            <wp:positionH relativeFrom="margin">
              <wp:posOffset>4265930</wp:posOffset>
            </wp:positionH>
            <wp:positionV relativeFrom="paragraph">
              <wp:posOffset>1655445</wp:posOffset>
            </wp:positionV>
            <wp:extent cx="845820" cy="431800"/>
            <wp:effectExtent l="0" t="0" r="0" b="6350"/>
            <wp:wrapSquare wrapText="bothSides"/>
            <wp:docPr id="1399757103" name="Obrázek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59264" behindDoc="0" locked="0" layoutInCell="1" allowOverlap="1" wp14:anchorId="5BD6DE5E" wp14:editId="24EA21E6">
            <wp:simplePos x="0" y="0"/>
            <wp:positionH relativeFrom="margin">
              <wp:posOffset>3815080</wp:posOffset>
            </wp:positionH>
            <wp:positionV relativeFrom="paragraph">
              <wp:posOffset>1655445</wp:posOffset>
            </wp:positionV>
            <wp:extent cx="460375" cy="431800"/>
            <wp:effectExtent l="0" t="0" r="0" b="6350"/>
            <wp:wrapSquare wrapText="bothSides"/>
            <wp:docPr id="2096601148" name="Obrázek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00712072" w:rsidRPr="0085622D">
        <w:rPr>
          <w:rFonts w:cs="Open Sans"/>
          <w:i/>
          <w:iCs/>
          <w:sz w:val="20"/>
          <w:szCs w:val="20"/>
        </w:rPr>
        <w:t xml:space="preserve">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w:t>
      </w:r>
      <w:r w:rsidR="00633408">
        <w:rPr>
          <w:rFonts w:cs="Open Sans"/>
          <w:i/>
          <w:iCs/>
          <w:sz w:val="20"/>
          <w:szCs w:val="20"/>
        </w:rPr>
        <w:t>Sesterská s</w:t>
      </w:r>
      <w:r w:rsidR="00712072" w:rsidRPr="0085622D">
        <w:rPr>
          <w:rFonts w:cs="Open Sans"/>
          <w:i/>
          <w:iCs/>
          <w:sz w:val="20"/>
          <w:szCs w:val="20"/>
        </w:rPr>
        <w:t xml:space="preserve">polečnost FinGO.sk byla založena </w:t>
      </w:r>
      <w:r w:rsidR="00F454AD">
        <w:rPr>
          <w:rFonts w:cs="Open Sans"/>
          <w:i/>
          <w:iCs/>
          <w:sz w:val="20"/>
          <w:szCs w:val="20"/>
        </w:rPr>
        <w:t>v roce 2017</w:t>
      </w:r>
      <w:r w:rsidR="00712072" w:rsidRPr="0085622D">
        <w:rPr>
          <w:rFonts w:cs="Open Sans"/>
          <w:i/>
          <w:iCs/>
          <w:sz w:val="20"/>
          <w:szCs w:val="20"/>
        </w:rPr>
        <w:t xml:space="preserve"> a stala se jednou z nejrychleji rostoucích společností ve svém oboru na Slovensku. Více než 1</w:t>
      </w:r>
      <w:r w:rsidR="004B7096">
        <w:rPr>
          <w:rFonts w:cs="Open Sans"/>
          <w:i/>
          <w:iCs/>
          <w:sz w:val="20"/>
          <w:szCs w:val="20"/>
        </w:rPr>
        <w:t xml:space="preserve"> 0</w:t>
      </w:r>
      <w:r w:rsidR="00712072" w:rsidRPr="0085622D">
        <w:rPr>
          <w:rFonts w:cs="Open Sans"/>
          <w:i/>
          <w:iCs/>
          <w:sz w:val="20"/>
          <w:szCs w:val="20"/>
        </w:rPr>
        <w:t>00 odborníků působí ve všech 79 okresech Slovenska a stará se o téměř 1</w:t>
      </w:r>
      <w:r w:rsidR="00E92752">
        <w:rPr>
          <w:rFonts w:cs="Open Sans"/>
          <w:i/>
          <w:iCs/>
          <w:sz w:val="20"/>
          <w:szCs w:val="20"/>
        </w:rPr>
        <w:t>5</w:t>
      </w:r>
      <w:r w:rsidR="00712072" w:rsidRPr="0085622D">
        <w:rPr>
          <w:rFonts w:cs="Open Sans"/>
          <w:i/>
          <w:iCs/>
          <w:sz w:val="20"/>
          <w:szCs w:val="20"/>
        </w:rPr>
        <w:t>0 000 spokojených klientů.</w:t>
      </w:r>
    </w:p>
    <w:sectPr w:rsidR="0096059C" w:rsidRPr="0085622D">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FECDF" w14:textId="77777777" w:rsidR="00D70E71" w:rsidRDefault="00D70E71" w:rsidP="00C00401">
      <w:r>
        <w:separator/>
      </w:r>
    </w:p>
  </w:endnote>
  <w:endnote w:type="continuationSeparator" w:id="0">
    <w:p w14:paraId="28444F59" w14:textId="77777777" w:rsidR="00D70E71" w:rsidRDefault="00D70E71" w:rsidP="00C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E791658" w14:paraId="7B7E4F7F" w14:textId="77777777" w:rsidTr="7E791658">
      <w:trPr>
        <w:trHeight w:val="300"/>
      </w:trPr>
      <w:tc>
        <w:tcPr>
          <w:tcW w:w="3020" w:type="dxa"/>
        </w:tcPr>
        <w:p w14:paraId="15343DB0" w14:textId="77777777" w:rsidR="7E791658" w:rsidRDefault="7E791658" w:rsidP="00C00401">
          <w:pPr>
            <w:pStyle w:val="Zhlav"/>
          </w:pPr>
        </w:p>
      </w:tc>
      <w:tc>
        <w:tcPr>
          <w:tcW w:w="3020" w:type="dxa"/>
        </w:tcPr>
        <w:p w14:paraId="102F4D46" w14:textId="77777777" w:rsidR="7E791658" w:rsidRDefault="7E791658" w:rsidP="00C00401">
          <w:pPr>
            <w:pStyle w:val="Zhlav"/>
          </w:pPr>
        </w:p>
      </w:tc>
      <w:tc>
        <w:tcPr>
          <w:tcW w:w="3020" w:type="dxa"/>
        </w:tcPr>
        <w:p w14:paraId="01B44316" w14:textId="77777777" w:rsidR="7E791658" w:rsidRDefault="7E791658" w:rsidP="00C00401">
          <w:pPr>
            <w:pStyle w:val="Zhlav"/>
          </w:pPr>
        </w:p>
      </w:tc>
    </w:tr>
  </w:tbl>
  <w:p w14:paraId="37BCB74C" w14:textId="77777777" w:rsidR="7E791658" w:rsidRDefault="7E791658" w:rsidP="00C00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92D14" w14:textId="77777777" w:rsidR="00D70E71" w:rsidRDefault="00D70E71" w:rsidP="00C00401">
      <w:r>
        <w:separator/>
      </w:r>
    </w:p>
  </w:footnote>
  <w:footnote w:type="continuationSeparator" w:id="0">
    <w:p w14:paraId="2A1E9CB1" w14:textId="77777777" w:rsidR="00D70E71" w:rsidRDefault="00D70E71" w:rsidP="00C0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CC11" w14:textId="77777777" w:rsidR="009B404E" w:rsidRPr="00C00401" w:rsidRDefault="009B404E" w:rsidP="00C00401">
    <w:pPr>
      <w:pStyle w:val="Zahlavi"/>
    </w:pPr>
    <w:r w:rsidRPr="00C00401">
      <w:drawing>
        <wp:anchor distT="0" distB="0" distL="114300" distR="114300" simplePos="0" relativeHeight="251658240" behindDoc="0" locked="0" layoutInCell="1" allowOverlap="1" wp14:anchorId="6845EDC8" wp14:editId="5DC0020C">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p>
  <w:p w14:paraId="3D056159" w14:textId="77777777" w:rsidR="009B404E" w:rsidRDefault="009B404E" w:rsidP="00C004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7135C"/>
    <w:multiLevelType w:val="hybridMultilevel"/>
    <w:tmpl w:val="88DCF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3438E0"/>
    <w:multiLevelType w:val="multilevel"/>
    <w:tmpl w:val="33581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AC5539"/>
    <w:multiLevelType w:val="multilevel"/>
    <w:tmpl w:val="6A662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BD040F"/>
    <w:multiLevelType w:val="multilevel"/>
    <w:tmpl w:val="D038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3E032A"/>
    <w:multiLevelType w:val="multilevel"/>
    <w:tmpl w:val="45FA1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AA0531"/>
    <w:multiLevelType w:val="multilevel"/>
    <w:tmpl w:val="B1A45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321472"/>
    <w:multiLevelType w:val="multilevel"/>
    <w:tmpl w:val="1E2854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0B305E"/>
    <w:multiLevelType w:val="hybridMultilevel"/>
    <w:tmpl w:val="3AE4BC7C"/>
    <w:lvl w:ilvl="0" w:tplc="8E32B9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2757161">
    <w:abstractNumId w:val="6"/>
  </w:num>
  <w:num w:numId="2" w16cid:durableId="363099003">
    <w:abstractNumId w:val="0"/>
  </w:num>
  <w:num w:numId="3" w16cid:durableId="1533155299">
    <w:abstractNumId w:val="4"/>
  </w:num>
  <w:num w:numId="4" w16cid:durableId="1809980726">
    <w:abstractNumId w:val="5"/>
  </w:num>
  <w:num w:numId="5" w16cid:durableId="1958484008">
    <w:abstractNumId w:val="3"/>
  </w:num>
  <w:num w:numId="6" w16cid:durableId="854686921">
    <w:abstractNumId w:val="1"/>
  </w:num>
  <w:num w:numId="7" w16cid:durableId="1984118866">
    <w:abstractNumId w:val="2"/>
  </w:num>
  <w:num w:numId="8" w16cid:durableId="128133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96"/>
    <w:rsid w:val="0000021F"/>
    <w:rsid w:val="00001B35"/>
    <w:rsid w:val="00004FFD"/>
    <w:rsid w:val="0000658B"/>
    <w:rsid w:val="000073D8"/>
    <w:rsid w:val="0000794B"/>
    <w:rsid w:val="00010A63"/>
    <w:rsid w:val="00010B20"/>
    <w:rsid w:val="000130A7"/>
    <w:rsid w:val="000156C5"/>
    <w:rsid w:val="000166FB"/>
    <w:rsid w:val="000167C8"/>
    <w:rsid w:val="00016F51"/>
    <w:rsid w:val="000177F2"/>
    <w:rsid w:val="000232BB"/>
    <w:rsid w:val="00027827"/>
    <w:rsid w:val="00030C15"/>
    <w:rsid w:val="00031FAB"/>
    <w:rsid w:val="00032B9B"/>
    <w:rsid w:val="0003572F"/>
    <w:rsid w:val="00035827"/>
    <w:rsid w:val="00035FAF"/>
    <w:rsid w:val="000370E4"/>
    <w:rsid w:val="00041CF6"/>
    <w:rsid w:val="0004389E"/>
    <w:rsid w:val="000442A5"/>
    <w:rsid w:val="000458D0"/>
    <w:rsid w:val="000460C4"/>
    <w:rsid w:val="00046406"/>
    <w:rsid w:val="00046FCB"/>
    <w:rsid w:val="000514DD"/>
    <w:rsid w:val="00052C56"/>
    <w:rsid w:val="00055DF8"/>
    <w:rsid w:val="00055FE9"/>
    <w:rsid w:val="00057716"/>
    <w:rsid w:val="000611AF"/>
    <w:rsid w:val="000625FE"/>
    <w:rsid w:val="00063A45"/>
    <w:rsid w:val="00063B10"/>
    <w:rsid w:val="00065953"/>
    <w:rsid w:val="000662C5"/>
    <w:rsid w:val="00072048"/>
    <w:rsid w:val="000725B0"/>
    <w:rsid w:val="00073C2D"/>
    <w:rsid w:val="00074C4C"/>
    <w:rsid w:val="00075457"/>
    <w:rsid w:val="000761B4"/>
    <w:rsid w:val="00076806"/>
    <w:rsid w:val="000816F4"/>
    <w:rsid w:val="0008245D"/>
    <w:rsid w:val="00083A38"/>
    <w:rsid w:val="00083CAE"/>
    <w:rsid w:val="000873CA"/>
    <w:rsid w:val="00091AB5"/>
    <w:rsid w:val="00092FF4"/>
    <w:rsid w:val="00094ABB"/>
    <w:rsid w:val="000962CF"/>
    <w:rsid w:val="000970DD"/>
    <w:rsid w:val="000A025B"/>
    <w:rsid w:val="000A10EE"/>
    <w:rsid w:val="000A22D0"/>
    <w:rsid w:val="000A4128"/>
    <w:rsid w:val="000A5BC8"/>
    <w:rsid w:val="000B0146"/>
    <w:rsid w:val="000B3761"/>
    <w:rsid w:val="000B491A"/>
    <w:rsid w:val="000B53EF"/>
    <w:rsid w:val="000B6269"/>
    <w:rsid w:val="000B6644"/>
    <w:rsid w:val="000C1F47"/>
    <w:rsid w:val="000C32FA"/>
    <w:rsid w:val="000C4389"/>
    <w:rsid w:val="000D5103"/>
    <w:rsid w:val="000D6645"/>
    <w:rsid w:val="000D6A46"/>
    <w:rsid w:val="000D6D02"/>
    <w:rsid w:val="000E0245"/>
    <w:rsid w:val="000E0D1B"/>
    <w:rsid w:val="000E157E"/>
    <w:rsid w:val="000E2A8F"/>
    <w:rsid w:val="000E6A0D"/>
    <w:rsid w:val="000F2B58"/>
    <w:rsid w:val="000F3C52"/>
    <w:rsid w:val="0010033D"/>
    <w:rsid w:val="00100EF2"/>
    <w:rsid w:val="00102EE3"/>
    <w:rsid w:val="00103C5D"/>
    <w:rsid w:val="00114A22"/>
    <w:rsid w:val="00123A82"/>
    <w:rsid w:val="00123CBB"/>
    <w:rsid w:val="0012633D"/>
    <w:rsid w:val="00126A40"/>
    <w:rsid w:val="00126CAB"/>
    <w:rsid w:val="001349B3"/>
    <w:rsid w:val="00136991"/>
    <w:rsid w:val="00140D71"/>
    <w:rsid w:val="00141266"/>
    <w:rsid w:val="00141690"/>
    <w:rsid w:val="00145A00"/>
    <w:rsid w:val="00151753"/>
    <w:rsid w:val="001529F1"/>
    <w:rsid w:val="00154E66"/>
    <w:rsid w:val="00155502"/>
    <w:rsid w:val="00160E3C"/>
    <w:rsid w:val="00161442"/>
    <w:rsid w:val="00161DEA"/>
    <w:rsid w:val="00163105"/>
    <w:rsid w:val="001653DF"/>
    <w:rsid w:val="001665F9"/>
    <w:rsid w:val="00166AF9"/>
    <w:rsid w:val="001671B0"/>
    <w:rsid w:val="00170800"/>
    <w:rsid w:val="001710AF"/>
    <w:rsid w:val="0017134D"/>
    <w:rsid w:val="001726F3"/>
    <w:rsid w:val="00172E17"/>
    <w:rsid w:val="00180E6A"/>
    <w:rsid w:val="001842E5"/>
    <w:rsid w:val="0018739C"/>
    <w:rsid w:val="001876D3"/>
    <w:rsid w:val="0019024B"/>
    <w:rsid w:val="001946FC"/>
    <w:rsid w:val="00197F73"/>
    <w:rsid w:val="001A0D25"/>
    <w:rsid w:val="001A1292"/>
    <w:rsid w:val="001A1D0A"/>
    <w:rsid w:val="001A2107"/>
    <w:rsid w:val="001A21A3"/>
    <w:rsid w:val="001B3538"/>
    <w:rsid w:val="001B4EA0"/>
    <w:rsid w:val="001C0693"/>
    <w:rsid w:val="001C1F70"/>
    <w:rsid w:val="001C2B99"/>
    <w:rsid w:val="001C434C"/>
    <w:rsid w:val="001C580D"/>
    <w:rsid w:val="001C7341"/>
    <w:rsid w:val="001D10AA"/>
    <w:rsid w:val="001D24B7"/>
    <w:rsid w:val="001D2C8C"/>
    <w:rsid w:val="001D4EB5"/>
    <w:rsid w:val="001D588D"/>
    <w:rsid w:val="001D598E"/>
    <w:rsid w:val="001E080B"/>
    <w:rsid w:val="001E1289"/>
    <w:rsid w:val="001E302B"/>
    <w:rsid w:val="001E30CC"/>
    <w:rsid w:val="001E6AB9"/>
    <w:rsid w:val="001E6F3F"/>
    <w:rsid w:val="001E7717"/>
    <w:rsid w:val="001F250E"/>
    <w:rsid w:val="001F44D8"/>
    <w:rsid w:val="002049BE"/>
    <w:rsid w:val="00204ED4"/>
    <w:rsid w:val="00207B4D"/>
    <w:rsid w:val="00211D63"/>
    <w:rsid w:val="00213ED1"/>
    <w:rsid w:val="00215E72"/>
    <w:rsid w:val="00217BE6"/>
    <w:rsid w:val="00217E22"/>
    <w:rsid w:val="00221487"/>
    <w:rsid w:val="0022158E"/>
    <w:rsid w:val="00222C93"/>
    <w:rsid w:val="00224B01"/>
    <w:rsid w:val="002303EC"/>
    <w:rsid w:val="00233E02"/>
    <w:rsid w:val="00234369"/>
    <w:rsid w:val="002344D8"/>
    <w:rsid w:val="00234D95"/>
    <w:rsid w:val="00236FB7"/>
    <w:rsid w:val="002379C0"/>
    <w:rsid w:val="00241F37"/>
    <w:rsid w:val="00245AAA"/>
    <w:rsid w:val="00251351"/>
    <w:rsid w:val="0025211B"/>
    <w:rsid w:val="00257F3E"/>
    <w:rsid w:val="00260F8F"/>
    <w:rsid w:val="00261CA3"/>
    <w:rsid w:val="00263614"/>
    <w:rsid w:val="002639B4"/>
    <w:rsid w:val="00274D60"/>
    <w:rsid w:val="00276C6C"/>
    <w:rsid w:val="00276F7D"/>
    <w:rsid w:val="002772E1"/>
    <w:rsid w:val="00280C2B"/>
    <w:rsid w:val="00284142"/>
    <w:rsid w:val="00287DF5"/>
    <w:rsid w:val="002905E6"/>
    <w:rsid w:val="0029083A"/>
    <w:rsid w:val="00292F00"/>
    <w:rsid w:val="00295A20"/>
    <w:rsid w:val="002A1734"/>
    <w:rsid w:val="002A1B55"/>
    <w:rsid w:val="002A21E4"/>
    <w:rsid w:val="002A32F4"/>
    <w:rsid w:val="002A53DA"/>
    <w:rsid w:val="002A62CB"/>
    <w:rsid w:val="002B13B2"/>
    <w:rsid w:val="002B70E7"/>
    <w:rsid w:val="002C2E3A"/>
    <w:rsid w:val="002C382A"/>
    <w:rsid w:val="002C59EB"/>
    <w:rsid w:val="002C5A45"/>
    <w:rsid w:val="002C60DA"/>
    <w:rsid w:val="002D21FA"/>
    <w:rsid w:val="002D4EB8"/>
    <w:rsid w:val="002D4EE4"/>
    <w:rsid w:val="002E07EE"/>
    <w:rsid w:val="002E0CCF"/>
    <w:rsid w:val="002E1AF8"/>
    <w:rsid w:val="002E54F5"/>
    <w:rsid w:val="002E7709"/>
    <w:rsid w:val="002F5FAF"/>
    <w:rsid w:val="00300545"/>
    <w:rsid w:val="003024F0"/>
    <w:rsid w:val="00303617"/>
    <w:rsid w:val="0030492E"/>
    <w:rsid w:val="003060EB"/>
    <w:rsid w:val="00306FF7"/>
    <w:rsid w:val="00307B7B"/>
    <w:rsid w:val="00307DE5"/>
    <w:rsid w:val="00310F86"/>
    <w:rsid w:val="00315B04"/>
    <w:rsid w:val="00317763"/>
    <w:rsid w:val="00320C20"/>
    <w:rsid w:val="00330807"/>
    <w:rsid w:val="00331594"/>
    <w:rsid w:val="003319EC"/>
    <w:rsid w:val="00334FAF"/>
    <w:rsid w:val="00340F69"/>
    <w:rsid w:val="00341989"/>
    <w:rsid w:val="00342AF0"/>
    <w:rsid w:val="003447BB"/>
    <w:rsid w:val="00347F9F"/>
    <w:rsid w:val="00350AAF"/>
    <w:rsid w:val="00351D19"/>
    <w:rsid w:val="0035269E"/>
    <w:rsid w:val="0035357F"/>
    <w:rsid w:val="003657AB"/>
    <w:rsid w:val="00370622"/>
    <w:rsid w:val="00370FC7"/>
    <w:rsid w:val="0037171D"/>
    <w:rsid w:val="00373847"/>
    <w:rsid w:val="003748A7"/>
    <w:rsid w:val="003760BD"/>
    <w:rsid w:val="00376685"/>
    <w:rsid w:val="00376B28"/>
    <w:rsid w:val="0037762B"/>
    <w:rsid w:val="00377D97"/>
    <w:rsid w:val="00380ED4"/>
    <w:rsid w:val="003815E3"/>
    <w:rsid w:val="00382E6E"/>
    <w:rsid w:val="00384151"/>
    <w:rsid w:val="00387642"/>
    <w:rsid w:val="003915C5"/>
    <w:rsid w:val="003A04E7"/>
    <w:rsid w:val="003A162E"/>
    <w:rsid w:val="003A1803"/>
    <w:rsid w:val="003A354B"/>
    <w:rsid w:val="003A607A"/>
    <w:rsid w:val="003B238C"/>
    <w:rsid w:val="003B23D1"/>
    <w:rsid w:val="003B4005"/>
    <w:rsid w:val="003B4C87"/>
    <w:rsid w:val="003B6A74"/>
    <w:rsid w:val="003C1A63"/>
    <w:rsid w:val="003C6BEA"/>
    <w:rsid w:val="003D045C"/>
    <w:rsid w:val="003D0D6C"/>
    <w:rsid w:val="003D2348"/>
    <w:rsid w:val="003D58BA"/>
    <w:rsid w:val="003D66CE"/>
    <w:rsid w:val="003E1DFE"/>
    <w:rsid w:val="003E396C"/>
    <w:rsid w:val="003E3BF6"/>
    <w:rsid w:val="003E5D6E"/>
    <w:rsid w:val="003F20AC"/>
    <w:rsid w:val="003F2B6E"/>
    <w:rsid w:val="003F2DE9"/>
    <w:rsid w:val="003F3774"/>
    <w:rsid w:val="003F6CED"/>
    <w:rsid w:val="00403326"/>
    <w:rsid w:val="00414E7C"/>
    <w:rsid w:val="00416592"/>
    <w:rsid w:val="004173C5"/>
    <w:rsid w:val="004204A7"/>
    <w:rsid w:val="0042374E"/>
    <w:rsid w:val="004240D9"/>
    <w:rsid w:val="0042592F"/>
    <w:rsid w:val="004261C0"/>
    <w:rsid w:val="00427184"/>
    <w:rsid w:val="0042731D"/>
    <w:rsid w:val="00430FEE"/>
    <w:rsid w:val="00432F8F"/>
    <w:rsid w:val="00433265"/>
    <w:rsid w:val="0043437F"/>
    <w:rsid w:val="00435F26"/>
    <w:rsid w:val="00437603"/>
    <w:rsid w:val="004447EB"/>
    <w:rsid w:val="00445B8E"/>
    <w:rsid w:val="00446A76"/>
    <w:rsid w:val="00452C38"/>
    <w:rsid w:val="004568B8"/>
    <w:rsid w:val="004630DE"/>
    <w:rsid w:val="00463F22"/>
    <w:rsid w:val="00465D61"/>
    <w:rsid w:val="00465E22"/>
    <w:rsid w:val="00466237"/>
    <w:rsid w:val="004665DB"/>
    <w:rsid w:val="00467FC4"/>
    <w:rsid w:val="004741F4"/>
    <w:rsid w:val="00476146"/>
    <w:rsid w:val="00476C89"/>
    <w:rsid w:val="004777C9"/>
    <w:rsid w:val="00477D14"/>
    <w:rsid w:val="00480D15"/>
    <w:rsid w:val="004852AE"/>
    <w:rsid w:val="00485C48"/>
    <w:rsid w:val="00485FF4"/>
    <w:rsid w:val="00486147"/>
    <w:rsid w:val="004866AD"/>
    <w:rsid w:val="004877F4"/>
    <w:rsid w:val="00490009"/>
    <w:rsid w:val="004907BA"/>
    <w:rsid w:val="00490EC1"/>
    <w:rsid w:val="0049178B"/>
    <w:rsid w:val="004942A2"/>
    <w:rsid w:val="0049585A"/>
    <w:rsid w:val="00496EAF"/>
    <w:rsid w:val="004A2C0D"/>
    <w:rsid w:val="004A35C4"/>
    <w:rsid w:val="004A4E19"/>
    <w:rsid w:val="004B10CA"/>
    <w:rsid w:val="004B33BF"/>
    <w:rsid w:val="004B5EC1"/>
    <w:rsid w:val="004B7096"/>
    <w:rsid w:val="004C3812"/>
    <w:rsid w:val="004C50E4"/>
    <w:rsid w:val="004C5C16"/>
    <w:rsid w:val="004C5D53"/>
    <w:rsid w:val="004C74C2"/>
    <w:rsid w:val="004D030F"/>
    <w:rsid w:val="004D127B"/>
    <w:rsid w:val="004D2462"/>
    <w:rsid w:val="004D249B"/>
    <w:rsid w:val="004E41B1"/>
    <w:rsid w:val="004E6F7B"/>
    <w:rsid w:val="004E78A7"/>
    <w:rsid w:val="004F2062"/>
    <w:rsid w:val="004F4F21"/>
    <w:rsid w:val="004F6C36"/>
    <w:rsid w:val="005002F0"/>
    <w:rsid w:val="005037AB"/>
    <w:rsid w:val="00511218"/>
    <w:rsid w:val="00514BA1"/>
    <w:rsid w:val="00517194"/>
    <w:rsid w:val="00523422"/>
    <w:rsid w:val="00523961"/>
    <w:rsid w:val="005259FB"/>
    <w:rsid w:val="00526D07"/>
    <w:rsid w:val="00533D3B"/>
    <w:rsid w:val="00536896"/>
    <w:rsid w:val="00540518"/>
    <w:rsid w:val="00542979"/>
    <w:rsid w:val="005436D2"/>
    <w:rsid w:val="005445B6"/>
    <w:rsid w:val="00545980"/>
    <w:rsid w:val="00547331"/>
    <w:rsid w:val="00547822"/>
    <w:rsid w:val="00552D7D"/>
    <w:rsid w:val="005564B3"/>
    <w:rsid w:val="00556F99"/>
    <w:rsid w:val="0055794D"/>
    <w:rsid w:val="00557DFF"/>
    <w:rsid w:val="00562B35"/>
    <w:rsid w:val="00567B61"/>
    <w:rsid w:val="00567FA0"/>
    <w:rsid w:val="00572FC0"/>
    <w:rsid w:val="00573667"/>
    <w:rsid w:val="005737A5"/>
    <w:rsid w:val="00575099"/>
    <w:rsid w:val="0057569E"/>
    <w:rsid w:val="0057650B"/>
    <w:rsid w:val="0057733B"/>
    <w:rsid w:val="00581AC6"/>
    <w:rsid w:val="00581FDA"/>
    <w:rsid w:val="00583C0E"/>
    <w:rsid w:val="00585167"/>
    <w:rsid w:val="00585A8C"/>
    <w:rsid w:val="005903D0"/>
    <w:rsid w:val="005936A5"/>
    <w:rsid w:val="005970E4"/>
    <w:rsid w:val="00597FB7"/>
    <w:rsid w:val="005A0029"/>
    <w:rsid w:val="005A3916"/>
    <w:rsid w:val="005A3AF4"/>
    <w:rsid w:val="005A4358"/>
    <w:rsid w:val="005A595A"/>
    <w:rsid w:val="005A6B95"/>
    <w:rsid w:val="005B2544"/>
    <w:rsid w:val="005B27B1"/>
    <w:rsid w:val="005B518F"/>
    <w:rsid w:val="005B55F4"/>
    <w:rsid w:val="005B5649"/>
    <w:rsid w:val="005B6B51"/>
    <w:rsid w:val="005C00E6"/>
    <w:rsid w:val="005C3118"/>
    <w:rsid w:val="005C43E7"/>
    <w:rsid w:val="005C5272"/>
    <w:rsid w:val="005D16E9"/>
    <w:rsid w:val="005D3C12"/>
    <w:rsid w:val="005D48A0"/>
    <w:rsid w:val="005D5F6D"/>
    <w:rsid w:val="005E2C7A"/>
    <w:rsid w:val="005E3B20"/>
    <w:rsid w:val="005E79B1"/>
    <w:rsid w:val="005F5D29"/>
    <w:rsid w:val="005F7916"/>
    <w:rsid w:val="00601121"/>
    <w:rsid w:val="006017A0"/>
    <w:rsid w:val="0060368E"/>
    <w:rsid w:val="00604BAA"/>
    <w:rsid w:val="00605533"/>
    <w:rsid w:val="00605586"/>
    <w:rsid w:val="0061589B"/>
    <w:rsid w:val="006164E5"/>
    <w:rsid w:val="0061675A"/>
    <w:rsid w:val="0061730E"/>
    <w:rsid w:val="00625046"/>
    <w:rsid w:val="00625B35"/>
    <w:rsid w:val="00625B6D"/>
    <w:rsid w:val="006261F9"/>
    <w:rsid w:val="00627190"/>
    <w:rsid w:val="00632F5C"/>
    <w:rsid w:val="00633335"/>
    <w:rsid w:val="00633408"/>
    <w:rsid w:val="0063692F"/>
    <w:rsid w:val="00636E48"/>
    <w:rsid w:val="00640A81"/>
    <w:rsid w:val="00640C88"/>
    <w:rsid w:val="00641FD4"/>
    <w:rsid w:val="00645879"/>
    <w:rsid w:val="00646D90"/>
    <w:rsid w:val="00646FA2"/>
    <w:rsid w:val="006526AF"/>
    <w:rsid w:val="006533F6"/>
    <w:rsid w:val="006536C1"/>
    <w:rsid w:val="0065455C"/>
    <w:rsid w:val="0065529F"/>
    <w:rsid w:val="006569AC"/>
    <w:rsid w:val="00657A80"/>
    <w:rsid w:val="006628BF"/>
    <w:rsid w:val="00662DD9"/>
    <w:rsid w:val="006709B2"/>
    <w:rsid w:val="00671152"/>
    <w:rsid w:val="0067199E"/>
    <w:rsid w:val="00675641"/>
    <w:rsid w:val="00676B63"/>
    <w:rsid w:val="0068081E"/>
    <w:rsid w:val="0068289E"/>
    <w:rsid w:val="00682902"/>
    <w:rsid w:val="0068301F"/>
    <w:rsid w:val="00684354"/>
    <w:rsid w:val="006848CD"/>
    <w:rsid w:val="00684A60"/>
    <w:rsid w:val="00690362"/>
    <w:rsid w:val="00690A80"/>
    <w:rsid w:val="006924E0"/>
    <w:rsid w:val="0069527F"/>
    <w:rsid w:val="0069560E"/>
    <w:rsid w:val="00697FD8"/>
    <w:rsid w:val="006A1252"/>
    <w:rsid w:val="006A1663"/>
    <w:rsid w:val="006A607D"/>
    <w:rsid w:val="006A68AF"/>
    <w:rsid w:val="006A6AF3"/>
    <w:rsid w:val="006A6E08"/>
    <w:rsid w:val="006B3147"/>
    <w:rsid w:val="006B5CF3"/>
    <w:rsid w:val="006B7E92"/>
    <w:rsid w:val="006C0694"/>
    <w:rsid w:val="006C26BA"/>
    <w:rsid w:val="006C2B06"/>
    <w:rsid w:val="006C308A"/>
    <w:rsid w:val="006C4423"/>
    <w:rsid w:val="006C4CF0"/>
    <w:rsid w:val="006D2C9F"/>
    <w:rsid w:val="006D3F48"/>
    <w:rsid w:val="006D596E"/>
    <w:rsid w:val="006D784C"/>
    <w:rsid w:val="006E111A"/>
    <w:rsid w:val="006E290E"/>
    <w:rsid w:val="006E2CB7"/>
    <w:rsid w:val="006E3B9F"/>
    <w:rsid w:val="006E4179"/>
    <w:rsid w:val="006E576A"/>
    <w:rsid w:val="006E5E5C"/>
    <w:rsid w:val="006F00A9"/>
    <w:rsid w:val="006F1D3A"/>
    <w:rsid w:val="006F26F7"/>
    <w:rsid w:val="006F2B8E"/>
    <w:rsid w:val="006F50FA"/>
    <w:rsid w:val="006F64EE"/>
    <w:rsid w:val="006F6884"/>
    <w:rsid w:val="006F7EA4"/>
    <w:rsid w:val="00700A3E"/>
    <w:rsid w:val="00701CE2"/>
    <w:rsid w:val="00705139"/>
    <w:rsid w:val="0070582A"/>
    <w:rsid w:val="00712072"/>
    <w:rsid w:val="007123ED"/>
    <w:rsid w:val="00714664"/>
    <w:rsid w:val="0071539D"/>
    <w:rsid w:val="0071543B"/>
    <w:rsid w:val="0071584B"/>
    <w:rsid w:val="00720B44"/>
    <w:rsid w:val="007211E6"/>
    <w:rsid w:val="007233E9"/>
    <w:rsid w:val="00723A7F"/>
    <w:rsid w:val="00723B3E"/>
    <w:rsid w:val="0073629A"/>
    <w:rsid w:val="00736FB4"/>
    <w:rsid w:val="0073769F"/>
    <w:rsid w:val="0074064F"/>
    <w:rsid w:val="00740EB7"/>
    <w:rsid w:val="0074213D"/>
    <w:rsid w:val="00743B30"/>
    <w:rsid w:val="007447AA"/>
    <w:rsid w:val="00745876"/>
    <w:rsid w:val="007517BE"/>
    <w:rsid w:val="00751C55"/>
    <w:rsid w:val="0075473B"/>
    <w:rsid w:val="007570DA"/>
    <w:rsid w:val="0075784E"/>
    <w:rsid w:val="00760177"/>
    <w:rsid w:val="007622A0"/>
    <w:rsid w:val="00762EEA"/>
    <w:rsid w:val="00764CDC"/>
    <w:rsid w:val="00766084"/>
    <w:rsid w:val="0076759E"/>
    <w:rsid w:val="00770401"/>
    <w:rsid w:val="00772295"/>
    <w:rsid w:val="0077319D"/>
    <w:rsid w:val="00775798"/>
    <w:rsid w:val="00775A54"/>
    <w:rsid w:val="00775DDB"/>
    <w:rsid w:val="007774BA"/>
    <w:rsid w:val="00777674"/>
    <w:rsid w:val="00777E72"/>
    <w:rsid w:val="00780CC5"/>
    <w:rsid w:val="00782679"/>
    <w:rsid w:val="00784603"/>
    <w:rsid w:val="007847A2"/>
    <w:rsid w:val="00785512"/>
    <w:rsid w:val="00785AA8"/>
    <w:rsid w:val="00787256"/>
    <w:rsid w:val="00787BE3"/>
    <w:rsid w:val="00792601"/>
    <w:rsid w:val="007931B4"/>
    <w:rsid w:val="0079445A"/>
    <w:rsid w:val="0079453F"/>
    <w:rsid w:val="007945C5"/>
    <w:rsid w:val="00795BB7"/>
    <w:rsid w:val="0079C103"/>
    <w:rsid w:val="007A0EAA"/>
    <w:rsid w:val="007A19CA"/>
    <w:rsid w:val="007A3E15"/>
    <w:rsid w:val="007A408F"/>
    <w:rsid w:val="007A5EA9"/>
    <w:rsid w:val="007A71F6"/>
    <w:rsid w:val="007A7C9E"/>
    <w:rsid w:val="007B0B03"/>
    <w:rsid w:val="007B2BA5"/>
    <w:rsid w:val="007C1A1F"/>
    <w:rsid w:val="007C7CD9"/>
    <w:rsid w:val="007D0277"/>
    <w:rsid w:val="007D14CA"/>
    <w:rsid w:val="007D4412"/>
    <w:rsid w:val="007D69D8"/>
    <w:rsid w:val="007D7647"/>
    <w:rsid w:val="007E095E"/>
    <w:rsid w:val="007E2628"/>
    <w:rsid w:val="007E5E5F"/>
    <w:rsid w:val="007F0386"/>
    <w:rsid w:val="007F2559"/>
    <w:rsid w:val="007F4550"/>
    <w:rsid w:val="00802969"/>
    <w:rsid w:val="00803535"/>
    <w:rsid w:val="00803EB2"/>
    <w:rsid w:val="00804C96"/>
    <w:rsid w:val="00805EFB"/>
    <w:rsid w:val="008072AB"/>
    <w:rsid w:val="00807679"/>
    <w:rsid w:val="008118A6"/>
    <w:rsid w:val="00814BDC"/>
    <w:rsid w:val="00817E83"/>
    <w:rsid w:val="008205FD"/>
    <w:rsid w:val="008210F1"/>
    <w:rsid w:val="00831DC0"/>
    <w:rsid w:val="0083675C"/>
    <w:rsid w:val="00836913"/>
    <w:rsid w:val="00841960"/>
    <w:rsid w:val="008435B7"/>
    <w:rsid w:val="008463DB"/>
    <w:rsid w:val="0084687D"/>
    <w:rsid w:val="00854D1B"/>
    <w:rsid w:val="0085622D"/>
    <w:rsid w:val="008575AC"/>
    <w:rsid w:val="00857C45"/>
    <w:rsid w:val="00863DB8"/>
    <w:rsid w:val="0086518E"/>
    <w:rsid w:val="00867DAE"/>
    <w:rsid w:val="008725ED"/>
    <w:rsid w:val="00872EA0"/>
    <w:rsid w:val="0087697F"/>
    <w:rsid w:val="008769C2"/>
    <w:rsid w:val="00876F1A"/>
    <w:rsid w:val="0087704C"/>
    <w:rsid w:val="00877CD1"/>
    <w:rsid w:val="008862B6"/>
    <w:rsid w:val="00887773"/>
    <w:rsid w:val="00890652"/>
    <w:rsid w:val="00893535"/>
    <w:rsid w:val="00893CF1"/>
    <w:rsid w:val="00896196"/>
    <w:rsid w:val="0089657F"/>
    <w:rsid w:val="008A30DF"/>
    <w:rsid w:val="008A6C2D"/>
    <w:rsid w:val="008B011E"/>
    <w:rsid w:val="008B0CFF"/>
    <w:rsid w:val="008B3101"/>
    <w:rsid w:val="008B3F8C"/>
    <w:rsid w:val="008B6064"/>
    <w:rsid w:val="008B6BB9"/>
    <w:rsid w:val="008B76D7"/>
    <w:rsid w:val="008C0488"/>
    <w:rsid w:val="008C331D"/>
    <w:rsid w:val="008C39EB"/>
    <w:rsid w:val="008C42E7"/>
    <w:rsid w:val="008D130E"/>
    <w:rsid w:val="008D6DA3"/>
    <w:rsid w:val="008E0BDF"/>
    <w:rsid w:val="008E17AA"/>
    <w:rsid w:val="008E3EA0"/>
    <w:rsid w:val="008E4261"/>
    <w:rsid w:val="008E4A2D"/>
    <w:rsid w:val="008E54E6"/>
    <w:rsid w:val="008E5E3C"/>
    <w:rsid w:val="008E6495"/>
    <w:rsid w:val="008E7379"/>
    <w:rsid w:val="008F15FD"/>
    <w:rsid w:val="008F1B78"/>
    <w:rsid w:val="008F38A3"/>
    <w:rsid w:val="008F4BB2"/>
    <w:rsid w:val="008F63B4"/>
    <w:rsid w:val="008F7DD5"/>
    <w:rsid w:val="009001FB"/>
    <w:rsid w:val="00900BDB"/>
    <w:rsid w:val="00900CC8"/>
    <w:rsid w:val="00900FC8"/>
    <w:rsid w:val="009022A7"/>
    <w:rsid w:val="00903430"/>
    <w:rsid w:val="00903DAF"/>
    <w:rsid w:val="009045F1"/>
    <w:rsid w:val="00907A2C"/>
    <w:rsid w:val="00910DFC"/>
    <w:rsid w:val="00912C31"/>
    <w:rsid w:val="00912EE6"/>
    <w:rsid w:val="009136E9"/>
    <w:rsid w:val="00914149"/>
    <w:rsid w:val="00921DD5"/>
    <w:rsid w:val="00924E12"/>
    <w:rsid w:val="009276BF"/>
    <w:rsid w:val="0093300D"/>
    <w:rsid w:val="00934C71"/>
    <w:rsid w:val="0094179C"/>
    <w:rsid w:val="00942094"/>
    <w:rsid w:val="009422C4"/>
    <w:rsid w:val="00944403"/>
    <w:rsid w:val="00945E70"/>
    <w:rsid w:val="009464F0"/>
    <w:rsid w:val="00946A7C"/>
    <w:rsid w:val="00947789"/>
    <w:rsid w:val="00951331"/>
    <w:rsid w:val="00951667"/>
    <w:rsid w:val="009553E4"/>
    <w:rsid w:val="009563F0"/>
    <w:rsid w:val="009563F3"/>
    <w:rsid w:val="0096059C"/>
    <w:rsid w:val="0096146E"/>
    <w:rsid w:val="0096395A"/>
    <w:rsid w:val="009675DB"/>
    <w:rsid w:val="009726B3"/>
    <w:rsid w:val="00977B2A"/>
    <w:rsid w:val="00977E0B"/>
    <w:rsid w:val="00985B26"/>
    <w:rsid w:val="0098652C"/>
    <w:rsid w:val="009868A4"/>
    <w:rsid w:val="00990C10"/>
    <w:rsid w:val="0099159B"/>
    <w:rsid w:val="00991EE9"/>
    <w:rsid w:val="009924AC"/>
    <w:rsid w:val="009943C1"/>
    <w:rsid w:val="00994825"/>
    <w:rsid w:val="009965D1"/>
    <w:rsid w:val="009968CC"/>
    <w:rsid w:val="009A122D"/>
    <w:rsid w:val="009A4B3A"/>
    <w:rsid w:val="009A55AB"/>
    <w:rsid w:val="009A6856"/>
    <w:rsid w:val="009B2515"/>
    <w:rsid w:val="009B26C4"/>
    <w:rsid w:val="009B404E"/>
    <w:rsid w:val="009B6497"/>
    <w:rsid w:val="009B6A19"/>
    <w:rsid w:val="009C1B95"/>
    <w:rsid w:val="009C279C"/>
    <w:rsid w:val="009C3231"/>
    <w:rsid w:val="009C33BB"/>
    <w:rsid w:val="009C4173"/>
    <w:rsid w:val="009C433A"/>
    <w:rsid w:val="009C582A"/>
    <w:rsid w:val="009C5C2F"/>
    <w:rsid w:val="009C5F67"/>
    <w:rsid w:val="009C7AD5"/>
    <w:rsid w:val="009D2F8F"/>
    <w:rsid w:val="009D52BD"/>
    <w:rsid w:val="009D783E"/>
    <w:rsid w:val="009E2880"/>
    <w:rsid w:val="009E5E71"/>
    <w:rsid w:val="009E633E"/>
    <w:rsid w:val="009F0A28"/>
    <w:rsid w:val="009F1289"/>
    <w:rsid w:val="009F659F"/>
    <w:rsid w:val="009F7F91"/>
    <w:rsid w:val="00A00D0C"/>
    <w:rsid w:val="00A00E29"/>
    <w:rsid w:val="00A025CE"/>
    <w:rsid w:val="00A12266"/>
    <w:rsid w:val="00A138C6"/>
    <w:rsid w:val="00A227F3"/>
    <w:rsid w:val="00A23030"/>
    <w:rsid w:val="00A25E47"/>
    <w:rsid w:val="00A27453"/>
    <w:rsid w:val="00A276DC"/>
    <w:rsid w:val="00A3017D"/>
    <w:rsid w:val="00A30F25"/>
    <w:rsid w:val="00A32B8C"/>
    <w:rsid w:val="00A358BC"/>
    <w:rsid w:val="00A36BFC"/>
    <w:rsid w:val="00A37C88"/>
    <w:rsid w:val="00A40B33"/>
    <w:rsid w:val="00A40F11"/>
    <w:rsid w:val="00A44368"/>
    <w:rsid w:val="00A447C4"/>
    <w:rsid w:val="00A44B03"/>
    <w:rsid w:val="00A46B10"/>
    <w:rsid w:val="00A479D7"/>
    <w:rsid w:val="00A50422"/>
    <w:rsid w:val="00A504E4"/>
    <w:rsid w:val="00A5334F"/>
    <w:rsid w:val="00A55C70"/>
    <w:rsid w:val="00A567C8"/>
    <w:rsid w:val="00A62AEE"/>
    <w:rsid w:val="00A62FB4"/>
    <w:rsid w:val="00A64445"/>
    <w:rsid w:val="00A67316"/>
    <w:rsid w:val="00A704E3"/>
    <w:rsid w:val="00A72EF1"/>
    <w:rsid w:val="00A75C38"/>
    <w:rsid w:val="00A770A2"/>
    <w:rsid w:val="00A8064B"/>
    <w:rsid w:val="00A8163E"/>
    <w:rsid w:val="00A831F9"/>
    <w:rsid w:val="00A850B8"/>
    <w:rsid w:val="00A85B12"/>
    <w:rsid w:val="00A8653F"/>
    <w:rsid w:val="00A90ED4"/>
    <w:rsid w:val="00A90FD8"/>
    <w:rsid w:val="00A917AE"/>
    <w:rsid w:val="00A923C5"/>
    <w:rsid w:val="00A92C01"/>
    <w:rsid w:val="00A935AE"/>
    <w:rsid w:val="00A93FF1"/>
    <w:rsid w:val="00A94264"/>
    <w:rsid w:val="00AA262C"/>
    <w:rsid w:val="00AA4917"/>
    <w:rsid w:val="00AA4C9E"/>
    <w:rsid w:val="00AB0DC6"/>
    <w:rsid w:val="00AB0F6F"/>
    <w:rsid w:val="00AB258D"/>
    <w:rsid w:val="00AB4F4A"/>
    <w:rsid w:val="00AB5CB4"/>
    <w:rsid w:val="00AC3BD3"/>
    <w:rsid w:val="00AC44D5"/>
    <w:rsid w:val="00AC56F9"/>
    <w:rsid w:val="00AC6099"/>
    <w:rsid w:val="00AC7B69"/>
    <w:rsid w:val="00AD129B"/>
    <w:rsid w:val="00AD5FBD"/>
    <w:rsid w:val="00AE3344"/>
    <w:rsid w:val="00AE44FC"/>
    <w:rsid w:val="00AE5263"/>
    <w:rsid w:val="00AE66D3"/>
    <w:rsid w:val="00AF1D50"/>
    <w:rsid w:val="00AF3C41"/>
    <w:rsid w:val="00AF5FA3"/>
    <w:rsid w:val="00AF69E3"/>
    <w:rsid w:val="00AF7487"/>
    <w:rsid w:val="00B0017B"/>
    <w:rsid w:val="00B05318"/>
    <w:rsid w:val="00B0753E"/>
    <w:rsid w:val="00B07FD3"/>
    <w:rsid w:val="00B117BC"/>
    <w:rsid w:val="00B12028"/>
    <w:rsid w:val="00B120F4"/>
    <w:rsid w:val="00B12756"/>
    <w:rsid w:val="00B13DE2"/>
    <w:rsid w:val="00B13FF9"/>
    <w:rsid w:val="00B164B1"/>
    <w:rsid w:val="00B20DE5"/>
    <w:rsid w:val="00B21DC7"/>
    <w:rsid w:val="00B22509"/>
    <w:rsid w:val="00B27DE4"/>
    <w:rsid w:val="00B33F2B"/>
    <w:rsid w:val="00B34CF5"/>
    <w:rsid w:val="00B35B56"/>
    <w:rsid w:val="00B37005"/>
    <w:rsid w:val="00B417EB"/>
    <w:rsid w:val="00B41EB6"/>
    <w:rsid w:val="00B43670"/>
    <w:rsid w:val="00B448AC"/>
    <w:rsid w:val="00B47FCC"/>
    <w:rsid w:val="00B5056C"/>
    <w:rsid w:val="00B521F6"/>
    <w:rsid w:val="00B60AD8"/>
    <w:rsid w:val="00B61DB0"/>
    <w:rsid w:val="00B61EF6"/>
    <w:rsid w:val="00B64D4C"/>
    <w:rsid w:val="00B711B4"/>
    <w:rsid w:val="00B75A21"/>
    <w:rsid w:val="00B7733B"/>
    <w:rsid w:val="00B82B0A"/>
    <w:rsid w:val="00B900E8"/>
    <w:rsid w:val="00B91D0F"/>
    <w:rsid w:val="00B9612C"/>
    <w:rsid w:val="00B96B36"/>
    <w:rsid w:val="00BA0D1B"/>
    <w:rsid w:val="00BA39E7"/>
    <w:rsid w:val="00BA4F2A"/>
    <w:rsid w:val="00BA6043"/>
    <w:rsid w:val="00BA7289"/>
    <w:rsid w:val="00BB17CC"/>
    <w:rsid w:val="00BB4CBA"/>
    <w:rsid w:val="00BB7DEE"/>
    <w:rsid w:val="00BC3B16"/>
    <w:rsid w:val="00BC4964"/>
    <w:rsid w:val="00BC5379"/>
    <w:rsid w:val="00BD0DBD"/>
    <w:rsid w:val="00BD217C"/>
    <w:rsid w:val="00BD2554"/>
    <w:rsid w:val="00BD2B5D"/>
    <w:rsid w:val="00BD3F59"/>
    <w:rsid w:val="00BD72B2"/>
    <w:rsid w:val="00BE0841"/>
    <w:rsid w:val="00BE2144"/>
    <w:rsid w:val="00BE39AB"/>
    <w:rsid w:val="00BE45D2"/>
    <w:rsid w:val="00BE54F4"/>
    <w:rsid w:val="00BE60C9"/>
    <w:rsid w:val="00BF008A"/>
    <w:rsid w:val="00BF2654"/>
    <w:rsid w:val="00BF4A07"/>
    <w:rsid w:val="00BF6153"/>
    <w:rsid w:val="00C00401"/>
    <w:rsid w:val="00C01607"/>
    <w:rsid w:val="00C035DC"/>
    <w:rsid w:val="00C0738E"/>
    <w:rsid w:val="00C10D7B"/>
    <w:rsid w:val="00C12468"/>
    <w:rsid w:val="00C164FC"/>
    <w:rsid w:val="00C17073"/>
    <w:rsid w:val="00C20803"/>
    <w:rsid w:val="00C228A7"/>
    <w:rsid w:val="00C2341A"/>
    <w:rsid w:val="00C24881"/>
    <w:rsid w:val="00C33D9C"/>
    <w:rsid w:val="00C36091"/>
    <w:rsid w:val="00C3652F"/>
    <w:rsid w:val="00C37453"/>
    <w:rsid w:val="00C37A00"/>
    <w:rsid w:val="00C37F48"/>
    <w:rsid w:val="00C40507"/>
    <w:rsid w:val="00C40E6E"/>
    <w:rsid w:val="00C4358C"/>
    <w:rsid w:val="00C43B7E"/>
    <w:rsid w:val="00C43F2E"/>
    <w:rsid w:val="00C45D00"/>
    <w:rsid w:val="00C468C6"/>
    <w:rsid w:val="00C5060F"/>
    <w:rsid w:val="00C51182"/>
    <w:rsid w:val="00C52BF1"/>
    <w:rsid w:val="00C52D76"/>
    <w:rsid w:val="00C53F93"/>
    <w:rsid w:val="00C6200B"/>
    <w:rsid w:val="00C6449E"/>
    <w:rsid w:val="00C6692D"/>
    <w:rsid w:val="00C705F1"/>
    <w:rsid w:val="00C70A48"/>
    <w:rsid w:val="00C71AF3"/>
    <w:rsid w:val="00C72AA4"/>
    <w:rsid w:val="00C72C31"/>
    <w:rsid w:val="00C72F71"/>
    <w:rsid w:val="00C74478"/>
    <w:rsid w:val="00C75A28"/>
    <w:rsid w:val="00C77369"/>
    <w:rsid w:val="00C81A1E"/>
    <w:rsid w:val="00C8279B"/>
    <w:rsid w:val="00C82F07"/>
    <w:rsid w:val="00C872FA"/>
    <w:rsid w:val="00C932D5"/>
    <w:rsid w:val="00C93FFF"/>
    <w:rsid w:val="00C950E4"/>
    <w:rsid w:val="00C95DC2"/>
    <w:rsid w:val="00C97907"/>
    <w:rsid w:val="00CA0001"/>
    <w:rsid w:val="00CA2DF4"/>
    <w:rsid w:val="00CA4D2B"/>
    <w:rsid w:val="00CA679E"/>
    <w:rsid w:val="00CB0971"/>
    <w:rsid w:val="00CB6B5D"/>
    <w:rsid w:val="00CB75B8"/>
    <w:rsid w:val="00CC1555"/>
    <w:rsid w:val="00CC1AC9"/>
    <w:rsid w:val="00CC49CF"/>
    <w:rsid w:val="00CC4E6E"/>
    <w:rsid w:val="00CC5200"/>
    <w:rsid w:val="00CD3436"/>
    <w:rsid w:val="00CD481C"/>
    <w:rsid w:val="00CD5A3E"/>
    <w:rsid w:val="00CD7CB4"/>
    <w:rsid w:val="00CE36CE"/>
    <w:rsid w:val="00CE721A"/>
    <w:rsid w:val="00CF07C2"/>
    <w:rsid w:val="00CF09EA"/>
    <w:rsid w:val="00CF0B94"/>
    <w:rsid w:val="00CF6706"/>
    <w:rsid w:val="00CF763E"/>
    <w:rsid w:val="00D0331D"/>
    <w:rsid w:val="00D045F9"/>
    <w:rsid w:val="00D11C64"/>
    <w:rsid w:val="00D12CA3"/>
    <w:rsid w:val="00D16C7F"/>
    <w:rsid w:val="00D20C22"/>
    <w:rsid w:val="00D24664"/>
    <w:rsid w:val="00D250C7"/>
    <w:rsid w:val="00D272A4"/>
    <w:rsid w:val="00D275E1"/>
    <w:rsid w:val="00D30B4E"/>
    <w:rsid w:val="00D33E74"/>
    <w:rsid w:val="00D35FAC"/>
    <w:rsid w:val="00D401DB"/>
    <w:rsid w:val="00D40B2B"/>
    <w:rsid w:val="00D42C12"/>
    <w:rsid w:val="00D46D6C"/>
    <w:rsid w:val="00D47298"/>
    <w:rsid w:val="00D474E2"/>
    <w:rsid w:val="00D51B1B"/>
    <w:rsid w:val="00D525EB"/>
    <w:rsid w:val="00D54B7E"/>
    <w:rsid w:val="00D613ED"/>
    <w:rsid w:val="00D61F4A"/>
    <w:rsid w:val="00D64ED2"/>
    <w:rsid w:val="00D6706A"/>
    <w:rsid w:val="00D70E71"/>
    <w:rsid w:val="00D742F3"/>
    <w:rsid w:val="00D76BFE"/>
    <w:rsid w:val="00D7710D"/>
    <w:rsid w:val="00D773A8"/>
    <w:rsid w:val="00D8020F"/>
    <w:rsid w:val="00D81965"/>
    <w:rsid w:val="00D82624"/>
    <w:rsid w:val="00D82820"/>
    <w:rsid w:val="00D83D75"/>
    <w:rsid w:val="00D86F63"/>
    <w:rsid w:val="00D93854"/>
    <w:rsid w:val="00D9493F"/>
    <w:rsid w:val="00D95309"/>
    <w:rsid w:val="00DA10E3"/>
    <w:rsid w:val="00DA3E8C"/>
    <w:rsid w:val="00DA53F4"/>
    <w:rsid w:val="00DA6606"/>
    <w:rsid w:val="00DA6895"/>
    <w:rsid w:val="00DB13BD"/>
    <w:rsid w:val="00DB4344"/>
    <w:rsid w:val="00DB487B"/>
    <w:rsid w:val="00DC040C"/>
    <w:rsid w:val="00DC0B72"/>
    <w:rsid w:val="00DC6068"/>
    <w:rsid w:val="00DC62F6"/>
    <w:rsid w:val="00DC6A2D"/>
    <w:rsid w:val="00DC73BB"/>
    <w:rsid w:val="00DD0934"/>
    <w:rsid w:val="00DD0BBF"/>
    <w:rsid w:val="00DD14F7"/>
    <w:rsid w:val="00DD3504"/>
    <w:rsid w:val="00DE0208"/>
    <w:rsid w:val="00DE14A0"/>
    <w:rsid w:val="00DE551F"/>
    <w:rsid w:val="00DE6D10"/>
    <w:rsid w:val="00DF2E9C"/>
    <w:rsid w:val="00DF5284"/>
    <w:rsid w:val="00DF5859"/>
    <w:rsid w:val="00E00C7F"/>
    <w:rsid w:val="00E03AED"/>
    <w:rsid w:val="00E04DD7"/>
    <w:rsid w:val="00E06A16"/>
    <w:rsid w:val="00E06EEB"/>
    <w:rsid w:val="00E07AB6"/>
    <w:rsid w:val="00E1024B"/>
    <w:rsid w:val="00E10E19"/>
    <w:rsid w:val="00E12436"/>
    <w:rsid w:val="00E1263A"/>
    <w:rsid w:val="00E14893"/>
    <w:rsid w:val="00E20A4A"/>
    <w:rsid w:val="00E20F7F"/>
    <w:rsid w:val="00E21E20"/>
    <w:rsid w:val="00E2317D"/>
    <w:rsid w:val="00E3283E"/>
    <w:rsid w:val="00E3284F"/>
    <w:rsid w:val="00E3388A"/>
    <w:rsid w:val="00E34CA1"/>
    <w:rsid w:val="00E37871"/>
    <w:rsid w:val="00E37F04"/>
    <w:rsid w:val="00E40B7D"/>
    <w:rsid w:val="00E415EE"/>
    <w:rsid w:val="00E428FE"/>
    <w:rsid w:val="00E42B74"/>
    <w:rsid w:val="00E42C22"/>
    <w:rsid w:val="00E435CA"/>
    <w:rsid w:val="00E45866"/>
    <w:rsid w:val="00E47ADA"/>
    <w:rsid w:val="00E50585"/>
    <w:rsid w:val="00E537B6"/>
    <w:rsid w:val="00E66151"/>
    <w:rsid w:val="00E72C1D"/>
    <w:rsid w:val="00E73A5C"/>
    <w:rsid w:val="00E75A42"/>
    <w:rsid w:val="00E76952"/>
    <w:rsid w:val="00E76C15"/>
    <w:rsid w:val="00E77E9F"/>
    <w:rsid w:val="00E80BE9"/>
    <w:rsid w:val="00E81A4C"/>
    <w:rsid w:val="00E81EB3"/>
    <w:rsid w:val="00E90531"/>
    <w:rsid w:val="00E90608"/>
    <w:rsid w:val="00E909D0"/>
    <w:rsid w:val="00E921A2"/>
    <w:rsid w:val="00E92752"/>
    <w:rsid w:val="00E93604"/>
    <w:rsid w:val="00E96468"/>
    <w:rsid w:val="00EA0317"/>
    <w:rsid w:val="00EA1014"/>
    <w:rsid w:val="00EA1F15"/>
    <w:rsid w:val="00EA22F6"/>
    <w:rsid w:val="00EA4551"/>
    <w:rsid w:val="00EA4F3A"/>
    <w:rsid w:val="00EA5EE9"/>
    <w:rsid w:val="00EB106F"/>
    <w:rsid w:val="00EC19C5"/>
    <w:rsid w:val="00EC1BF8"/>
    <w:rsid w:val="00EC316C"/>
    <w:rsid w:val="00EC37B9"/>
    <w:rsid w:val="00EC3B34"/>
    <w:rsid w:val="00EC5DE0"/>
    <w:rsid w:val="00EC7065"/>
    <w:rsid w:val="00ED0B54"/>
    <w:rsid w:val="00ED3218"/>
    <w:rsid w:val="00ED577A"/>
    <w:rsid w:val="00ED6C16"/>
    <w:rsid w:val="00EE004C"/>
    <w:rsid w:val="00EE1D68"/>
    <w:rsid w:val="00EE60A2"/>
    <w:rsid w:val="00EF5267"/>
    <w:rsid w:val="00F006D6"/>
    <w:rsid w:val="00F01AB5"/>
    <w:rsid w:val="00F02578"/>
    <w:rsid w:val="00F06373"/>
    <w:rsid w:val="00F07925"/>
    <w:rsid w:val="00F113D9"/>
    <w:rsid w:val="00F12AAE"/>
    <w:rsid w:val="00F13F91"/>
    <w:rsid w:val="00F14629"/>
    <w:rsid w:val="00F17089"/>
    <w:rsid w:val="00F17816"/>
    <w:rsid w:val="00F21AE9"/>
    <w:rsid w:val="00F2379E"/>
    <w:rsid w:val="00F2555E"/>
    <w:rsid w:val="00F3163B"/>
    <w:rsid w:val="00F31C31"/>
    <w:rsid w:val="00F32CCA"/>
    <w:rsid w:val="00F33647"/>
    <w:rsid w:val="00F34E91"/>
    <w:rsid w:val="00F37599"/>
    <w:rsid w:val="00F4022E"/>
    <w:rsid w:val="00F4127B"/>
    <w:rsid w:val="00F419AC"/>
    <w:rsid w:val="00F42EAE"/>
    <w:rsid w:val="00F43C57"/>
    <w:rsid w:val="00F445A6"/>
    <w:rsid w:val="00F44CAB"/>
    <w:rsid w:val="00F454AD"/>
    <w:rsid w:val="00F45534"/>
    <w:rsid w:val="00F463C6"/>
    <w:rsid w:val="00F46C72"/>
    <w:rsid w:val="00F47D7B"/>
    <w:rsid w:val="00F5087F"/>
    <w:rsid w:val="00F5204E"/>
    <w:rsid w:val="00F53171"/>
    <w:rsid w:val="00F53CB5"/>
    <w:rsid w:val="00F542EB"/>
    <w:rsid w:val="00F5546D"/>
    <w:rsid w:val="00F55CAA"/>
    <w:rsid w:val="00F57D5A"/>
    <w:rsid w:val="00F610DD"/>
    <w:rsid w:val="00F6215F"/>
    <w:rsid w:val="00F643F8"/>
    <w:rsid w:val="00F6444A"/>
    <w:rsid w:val="00F662C3"/>
    <w:rsid w:val="00F67211"/>
    <w:rsid w:val="00F72A42"/>
    <w:rsid w:val="00F72AE4"/>
    <w:rsid w:val="00F74EC2"/>
    <w:rsid w:val="00F76739"/>
    <w:rsid w:val="00F8003B"/>
    <w:rsid w:val="00F80D60"/>
    <w:rsid w:val="00F815C0"/>
    <w:rsid w:val="00F83164"/>
    <w:rsid w:val="00F84883"/>
    <w:rsid w:val="00F85635"/>
    <w:rsid w:val="00F90511"/>
    <w:rsid w:val="00F91AA2"/>
    <w:rsid w:val="00F91BD0"/>
    <w:rsid w:val="00F93F08"/>
    <w:rsid w:val="00F943C1"/>
    <w:rsid w:val="00F95C65"/>
    <w:rsid w:val="00FA13A2"/>
    <w:rsid w:val="00FA3743"/>
    <w:rsid w:val="00FA4489"/>
    <w:rsid w:val="00FA4508"/>
    <w:rsid w:val="00FA52F4"/>
    <w:rsid w:val="00FA69FE"/>
    <w:rsid w:val="00FB2B67"/>
    <w:rsid w:val="00FB5A90"/>
    <w:rsid w:val="00FC2E71"/>
    <w:rsid w:val="00FC5075"/>
    <w:rsid w:val="00FC5C6E"/>
    <w:rsid w:val="00FC7216"/>
    <w:rsid w:val="00FC7ED0"/>
    <w:rsid w:val="00FD1005"/>
    <w:rsid w:val="00FD3481"/>
    <w:rsid w:val="00FE09F8"/>
    <w:rsid w:val="00FE2BE7"/>
    <w:rsid w:val="00FE36EA"/>
    <w:rsid w:val="00FE5AED"/>
    <w:rsid w:val="00FF299D"/>
    <w:rsid w:val="00FF638C"/>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B7AD"/>
  <w15:chartTrackingRefBased/>
  <w15:docId w15:val="{DCD5DF3D-EA73-4310-B694-56C96E98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0401"/>
    <w:pPr>
      <w:jc w:val="both"/>
    </w:pPr>
    <w:rPr>
      <w:rFonts w:ascii="Open Sans" w:hAnsi="Open Sans"/>
    </w:rPr>
  </w:style>
  <w:style w:type="paragraph" w:styleId="Nadpis1">
    <w:name w:val="heading 1"/>
    <w:basedOn w:val="Normln"/>
    <w:next w:val="Normln"/>
    <w:link w:val="Nadpis1Char"/>
    <w:uiPriority w:val="9"/>
    <w:qFormat/>
    <w:rsid w:val="00C00401"/>
    <w:pPr>
      <w:outlineLvl w:val="0"/>
    </w:pPr>
    <w:rPr>
      <w:b/>
      <w:bCs/>
      <w:sz w:val="32"/>
      <w:szCs w:val="32"/>
    </w:rPr>
  </w:style>
  <w:style w:type="paragraph" w:styleId="Nadpis2">
    <w:name w:val="heading 2"/>
    <w:basedOn w:val="Normln"/>
    <w:next w:val="Normln"/>
    <w:link w:val="Nadpis2Char"/>
    <w:uiPriority w:val="9"/>
    <w:semiHidden/>
    <w:unhideWhenUsed/>
    <w:qFormat/>
    <w:rsid w:val="00EC5D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7F25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C00401"/>
    <w:rPr>
      <w:rFonts w:ascii="Open Sans" w:hAnsi="Open Sans"/>
      <w:b/>
      <w:bCs/>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C004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erex">
    <w:name w:val="Perex"/>
    <w:basedOn w:val="Normln"/>
    <w:qFormat/>
    <w:rsid w:val="00C00401"/>
    <w:rPr>
      <w:b/>
      <w:bCs/>
    </w:rPr>
  </w:style>
  <w:style w:type="paragraph" w:customStyle="1" w:styleId="Boilerplate">
    <w:name w:val="Boiler plate"/>
    <w:basedOn w:val="Normln"/>
    <w:qFormat/>
    <w:rsid w:val="00C00401"/>
    <w:rPr>
      <w:i/>
      <w:iCs/>
      <w:sz w:val="20"/>
      <w:szCs w:val="20"/>
    </w:rPr>
  </w:style>
  <w:style w:type="paragraph" w:customStyle="1" w:styleId="Zahlavi">
    <w:name w:val="Zahlavi"/>
    <w:basedOn w:val="Zhlav"/>
    <w:qFormat/>
    <w:rsid w:val="00C00401"/>
    <w:rPr>
      <w:noProof/>
      <w:sz w:val="30"/>
      <w:szCs w:val="30"/>
    </w:rPr>
  </w:style>
  <w:style w:type="paragraph" w:customStyle="1" w:styleId="Citace">
    <w:name w:val="Citace"/>
    <w:basedOn w:val="Normln"/>
    <w:qFormat/>
    <w:rsid w:val="001E6AB9"/>
    <w:rPr>
      <w:i/>
      <w:iCs/>
    </w:rPr>
  </w:style>
  <w:style w:type="paragraph" w:styleId="Revize">
    <w:name w:val="Revision"/>
    <w:hidden/>
    <w:uiPriority w:val="99"/>
    <w:semiHidden/>
    <w:rsid w:val="00136991"/>
    <w:pPr>
      <w:spacing w:after="0" w:line="240" w:lineRule="auto"/>
    </w:pPr>
    <w:rPr>
      <w:rFonts w:ascii="Open Sans" w:hAnsi="Open Sans"/>
    </w:rPr>
  </w:style>
  <w:style w:type="character" w:styleId="Odkaznakoment">
    <w:name w:val="annotation reference"/>
    <w:basedOn w:val="Standardnpsmoodstavce"/>
    <w:uiPriority w:val="99"/>
    <w:semiHidden/>
    <w:unhideWhenUsed/>
    <w:rsid w:val="00FB2B67"/>
    <w:rPr>
      <w:sz w:val="16"/>
      <w:szCs w:val="16"/>
    </w:rPr>
  </w:style>
  <w:style w:type="paragraph" w:styleId="Textkomente">
    <w:name w:val="annotation text"/>
    <w:basedOn w:val="Normln"/>
    <w:link w:val="TextkomenteChar"/>
    <w:uiPriority w:val="99"/>
    <w:semiHidden/>
    <w:unhideWhenUsed/>
    <w:rsid w:val="00FB2B67"/>
    <w:pPr>
      <w:spacing w:line="240" w:lineRule="auto"/>
    </w:pPr>
    <w:rPr>
      <w:sz w:val="20"/>
      <w:szCs w:val="20"/>
    </w:rPr>
  </w:style>
  <w:style w:type="character" w:customStyle="1" w:styleId="TextkomenteChar">
    <w:name w:val="Text komentáře Char"/>
    <w:basedOn w:val="Standardnpsmoodstavce"/>
    <w:link w:val="Textkomente"/>
    <w:uiPriority w:val="99"/>
    <w:semiHidden/>
    <w:rsid w:val="00FB2B67"/>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FB2B67"/>
    <w:rPr>
      <w:b/>
      <w:bCs/>
    </w:rPr>
  </w:style>
  <w:style w:type="character" w:customStyle="1" w:styleId="PedmtkomenteChar">
    <w:name w:val="Předmět komentáře Char"/>
    <w:basedOn w:val="TextkomenteChar"/>
    <w:link w:val="Pedmtkomente"/>
    <w:uiPriority w:val="99"/>
    <w:semiHidden/>
    <w:rsid w:val="00FB2B67"/>
    <w:rPr>
      <w:rFonts w:ascii="Open Sans" w:hAnsi="Open Sans"/>
      <w:b/>
      <w:bCs/>
      <w:sz w:val="20"/>
      <w:szCs w:val="20"/>
    </w:rPr>
  </w:style>
  <w:style w:type="character" w:styleId="Zdraznn">
    <w:name w:val="Emphasis"/>
    <w:basedOn w:val="Standardnpsmoodstavce"/>
    <w:uiPriority w:val="20"/>
    <w:qFormat/>
    <w:rsid w:val="00010B20"/>
    <w:rPr>
      <w:i/>
      <w:iCs/>
    </w:rPr>
  </w:style>
  <w:style w:type="paragraph" w:styleId="Odstavecseseznamem">
    <w:name w:val="List Paragraph"/>
    <w:basedOn w:val="Normln"/>
    <w:uiPriority w:val="34"/>
    <w:qFormat/>
    <w:rsid w:val="00C6449E"/>
    <w:pPr>
      <w:ind w:left="720"/>
      <w:contextualSpacing/>
    </w:pPr>
  </w:style>
  <w:style w:type="character" w:customStyle="1" w:styleId="Nadpis2Char">
    <w:name w:val="Nadpis 2 Char"/>
    <w:basedOn w:val="Standardnpsmoodstavce"/>
    <w:link w:val="Nadpis2"/>
    <w:uiPriority w:val="9"/>
    <w:semiHidden/>
    <w:rsid w:val="00EC5DE0"/>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7F25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649">
      <w:bodyDiv w:val="1"/>
      <w:marLeft w:val="0"/>
      <w:marRight w:val="0"/>
      <w:marTop w:val="0"/>
      <w:marBottom w:val="0"/>
      <w:divBdr>
        <w:top w:val="none" w:sz="0" w:space="0" w:color="auto"/>
        <w:left w:val="none" w:sz="0" w:space="0" w:color="auto"/>
        <w:bottom w:val="none" w:sz="0" w:space="0" w:color="auto"/>
        <w:right w:val="none" w:sz="0" w:space="0" w:color="auto"/>
      </w:divBdr>
    </w:div>
    <w:div w:id="23528881">
      <w:bodyDiv w:val="1"/>
      <w:marLeft w:val="0"/>
      <w:marRight w:val="0"/>
      <w:marTop w:val="0"/>
      <w:marBottom w:val="0"/>
      <w:divBdr>
        <w:top w:val="none" w:sz="0" w:space="0" w:color="auto"/>
        <w:left w:val="none" w:sz="0" w:space="0" w:color="auto"/>
        <w:bottom w:val="none" w:sz="0" w:space="0" w:color="auto"/>
        <w:right w:val="none" w:sz="0" w:space="0" w:color="auto"/>
      </w:divBdr>
    </w:div>
    <w:div w:id="87235945">
      <w:bodyDiv w:val="1"/>
      <w:marLeft w:val="0"/>
      <w:marRight w:val="0"/>
      <w:marTop w:val="0"/>
      <w:marBottom w:val="0"/>
      <w:divBdr>
        <w:top w:val="none" w:sz="0" w:space="0" w:color="auto"/>
        <w:left w:val="none" w:sz="0" w:space="0" w:color="auto"/>
        <w:bottom w:val="none" w:sz="0" w:space="0" w:color="auto"/>
        <w:right w:val="none" w:sz="0" w:space="0" w:color="auto"/>
      </w:divBdr>
    </w:div>
    <w:div w:id="108864487">
      <w:bodyDiv w:val="1"/>
      <w:marLeft w:val="0"/>
      <w:marRight w:val="0"/>
      <w:marTop w:val="0"/>
      <w:marBottom w:val="0"/>
      <w:divBdr>
        <w:top w:val="none" w:sz="0" w:space="0" w:color="auto"/>
        <w:left w:val="none" w:sz="0" w:space="0" w:color="auto"/>
        <w:bottom w:val="none" w:sz="0" w:space="0" w:color="auto"/>
        <w:right w:val="none" w:sz="0" w:space="0" w:color="auto"/>
      </w:divBdr>
    </w:div>
    <w:div w:id="119302646">
      <w:bodyDiv w:val="1"/>
      <w:marLeft w:val="0"/>
      <w:marRight w:val="0"/>
      <w:marTop w:val="0"/>
      <w:marBottom w:val="0"/>
      <w:divBdr>
        <w:top w:val="none" w:sz="0" w:space="0" w:color="auto"/>
        <w:left w:val="none" w:sz="0" w:space="0" w:color="auto"/>
        <w:bottom w:val="none" w:sz="0" w:space="0" w:color="auto"/>
        <w:right w:val="none" w:sz="0" w:space="0" w:color="auto"/>
      </w:divBdr>
    </w:div>
    <w:div w:id="135728958">
      <w:bodyDiv w:val="1"/>
      <w:marLeft w:val="0"/>
      <w:marRight w:val="0"/>
      <w:marTop w:val="0"/>
      <w:marBottom w:val="0"/>
      <w:divBdr>
        <w:top w:val="none" w:sz="0" w:space="0" w:color="auto"/>
        <w:left w:val="none" w:sz="0" w:space="0" w:color="auto"/>
        <w:bottom w:val="none" w:sz="0" w:space="0" w:color="auto"/>
        <w:right w:val="none" w:sz="0" w:space="0" w:color="auto"/>
      </w:divBdr>
    </w:div>
    <w:div w:id="220021851">
      <w:bodyDiv w:val="1"/>
      <w:marLeft w:val="0"/>
      <w:marRight w:val="0"/>
      <w:marTop w:val="0"/>
      <w:marBottom w:val="0"/>
      <w:divBdr>
        <w:top w:val="none" w:sz="0" w:space="0" w:color="auto"/>
        <w:left w:val="none" w:sz="0" w:space="0" w:color="auto"/>
        <w:bottom w:val="none" w:sz="0" w:space="0" w:color="auto"/>
        <w:right w:val="none" w:sz="0" w:space="0" w:color="auto"/>
      </w:divBdr>
    </w:div>
    <w:div w:id="248462647">
      <w:bodyDiv w:val="1"/>
      <w:marLeft w:val="0"/>
      <w:marRight w:val="0"/>
      <w:marTop w:val="0"/>
      <w:marBottom w:val="0"/>
      <w:divBdr>
        <w:top w:val="none" w:sz="0" w:space="0" w:color="auto"/>
        <w:left w:val="none" w:sz="0" w:space="0" w:color="auto"/>
        <w:bottom w:val="none" w:sz="0" w:space="0" w:color="auto"/>
        <w:right w:val="none" w:sz="0" w:space="0" w:color="auto"/>
      </w:divBdr>
    </w:div>
    <w:div w:id="257521828">
      <w:bodyDiv w:val="1"/>
      <w:marLeft w:val="0"/>
      <w:marRight w:val="0"/>
      <w:marTop w:val="0"/>
      <w:marBottom w:val="0"/>
      <w:divBdr>
        <w:top w:val="none" w:sz="0" w:space="0" w:color="auto"/>
        <w:left w:val="none" w:sz="0" w:space="0" w:color="auto"/>
        <w:bottom w:val="none" w:sz="0" w:space="0" w:color="auto"/>
        <w:right w:val="none" w:sz="0" w:space="0" w:color="auto"/>
      </w:divBdr>
    </w:div>
    <w:div w:id="263999755">
      <w:bodyDiv w:val="1"/>
      <w:marLeft w:val="0"/>
      <w:marRight w:val="0"/>
      <w:marTop w:val="0"/>
      <w:marBottom w:val="0"/>
      <w:divBdr>
        <w:top w:val="none" w:sz="0" w:space="0" w:color="auto"/>
        <w:left w:val="none" w:sz="0" w:space="0" w:color="auto"/>
        <w:bottom w:val="none" w:sz="0" w:space="0" w:color="auto"/>
        <w:right w:val="none" w:sz="0" w:space="0" w:color="auto"/>
      </w:divBdr>
    </w:div>
    <w:div w:id="305479535">
      <w:bodyDiv w:val="1"/>
      <w:marLeft w:val="0"/>
      <w:marRight w:val="0"/>
      <w:marTop w:val="0"/>
      <w:marBottom w:val="0"/>
      <w:divBdr>
        <w:top w:val="none" w:sz="0" w:space="0" w:color="auto"/>
        <w:left w:val="none" w:sz="0" w:space="0" w:color="auto"/>
        <w:bottom w:val="none" w:sz="0" w:space="0" w:color="auto"/>
        <w:right w:val="none" w:sz="0" w:space="0" w:color="auto"/>
      </w:divBdr>
    </w:div>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390349733">
      <w:bodyDiv w:val="1"/>
      <w:marLeft w:val="0"/>
      <w:marRight w:val="0"/>
      <w:marTop w:val="0"/>
      <w:marBottom w:val="0"/>
      <w:divBdr>
        <w:top w:val="none" w:sz="0" w:space="0" w:color="auto"/>
        <w:left w:val="none" w:sz="0" w:space="0" w:color="auto"/>
        <w:bottom w:val="none" w:sz="0" w:space="0" w:color="auto"/>
        <w:right w:val="none" w:sz="0" w:space="0" w:color="auto"/>
      </w:divBdr>
    </w:div>
    <w:div w:id="400298302">
      <w:bodyDiv w:val="1"/>
      <w:marLeft w:val="0"/>
      <w:marRight w:val="0"/>
      <w:marTop w:val="0"/>
      <w:marBottom w:val="0"/>
      <w:divBdr>
        <w:top w:val="none" w:sz="0" w:space="0" w:color="auto"/>
        <w:left w:val="none" w:sz="0" w:space="0" w:color="auto"/>
        <w:bottom w:val="none" w:sz="0" w:space="0" w:color="auto"/>
        <w:right w:val="none" w:sz="0" w:space="0" w:color="auto"/>
      </w:divBdr>
    </w:div>
    <w:div w:id="402341633">
      <w:bodyDiv w:val="1"/>
      <w:marLeft w:val="0"/>
      <w:marRight w:val="0"/>
      <w:marTop w:val="0"/>
      <w:marBottom w:val="0"/>
      <w:divBdr>
        <w:top w:val="none" w:sz="0" w:space="0" w:color="auto"/>
        <w:left w:val="none" w:sz="0" w:space="0" w:color="auto"/>
        <w:bottom w:val="none" w:sz="0" w:space="0" w:color="auto"/>
        <w:right w:val="none" w:sz="0" w:space="0" w:color="auto"/>
      </w:divBdr>
    </w:div>
    <w:div w:id="437259602">
      <w:bodyDiv w:val="1"/>
      <w:marLeft w:val="0"/>
      <w:marRight w:val="0"/>
      <w:marTop w:val="0"/>
      <w:marBottom w:val="0"/>
      <w:divBdr>
        <w:top w:val="none" w:sz="0" w:space="0" w:color="auto"/>
        <w:left w:val="none" w:sz="0" w:space="0" w:color="auto"/>
        <w:bottom w:val="none" w:sz="0" w:space="0" w:color="auto"/>
        <w:right w:val="none" w:sz="0" w:space="0" w:color="auto"/>
      </w:divBdr>
    </w:div>
    <w:div w:id="455680593">
      <w:bodyDiv w:val="1"/>
      <w:marLeft w:val="0"/>
      <w:marRight w:val="0"/>
      <w:marTop w:val="0"/>
      <w:marBottom w:val="0"/>
      <w:divBdr>
        <w:top w:val="none" w:sz="0" w:space="0" w:color="auto"/>
        <w:left w:val="none" w:sz="0" w:space="0" w:color="auto"/>
        <w:bottom w:val="none" w:sz="0" w:space="0" w:color="auto"/>
        <w:right w:val="none" w:sz="0" w:space="0" w:color="auto"/>
      </w:divBdr>
      <w:divsChild>
        <w:div w:id="210852624">
          <w:marLeft w:val="0"/>
          <w:marRight w:val="0"/>
          <w:marTop w:val="0"/>
          <w:marBottom w:val="0"/>
          <w:divBdr>
            <w:top w:val="none" w:sz="0" w:space="0" w:color="auto"/>
            <w:left w:val="none" w:sz="0" w:space="0" w:color="auto"/>
            <w:bottom w:val="none" w:sz="0" w:space="0" w:color="auto"/>
            <w:right w:val="none" w:sz="0" w:space="0" w:color="auto"/>
          </w:divBdr>
        </w:div>
        <w:div w:id="96752556">
          <w:marLeft w:val="0"/>
          <w:marRight w:val="0"/>
          <w:marTop w:val="0"/>
          <w:marBottom w:val="0"/>
          <w:divBdr>
            <w:top w:val="none" w:sz="0" w:space="0" w:color="auto"/>
            <w:left w:val="none" w:sz="0" w:space="0" w:color="auto"/>
            <w:bottom w:val="none" w:sz="0" w:space="0" w:color="auto"/>
            <w:right w:val="none" w:sz="0" w:space="0" w:color="auto"/>
          </w:divBdr>
          <w:divsChild>
            <w:div w:id="113453512">
              <w:marLeft w:val="0"/>
              <w:marRight w:val="0"/>
              <w:marTop w:val="0"/>
              <w:marBottom w:val="0"/>
              <w:divBdr>
                <w:top w:val="none" w:sz="0" w:space="0" w:color="auto"/>
                <w:left w:val="none" w:sz="0" w:space="0" w:color="auto"/>
                <w:bottom w:val="none" w:sz="0" w:space="0" w:color="auto"/>
                <w:right w:val="none" w:sz="0" w:space="0" w:color="auto"/>
              </w:divBdr>
            </w:div>
            <w:div w:id="1711219438">
              <w:marLeft w:val="0"/>
              <w:marRight w:val="0"/>
              <w:marTop w:val="0"/>
              <w:marBottom w:val="0"/>
              <w:divBdr>
                <w:top w:val="none" w:sz="0" w:space="0" w:color="auto"/>
                <w:left w:val="none" w:sz="0" w:space="0" w:color="auto"/>
                <w:bottom w:val="none" w:sz="0" w:space="0" w:color="auto"/>
                <w:right w:val="none" w:sz="0" w:space="0" w:color="auto"/>
              </w:divBdr>
            </w:div>
            <w:div w:id="242186839">
              <w:marLeft w:val="0"/>
              <w:marRight w:val="0"/>
              <w:marTop w:val="0"/>
              <w:marBottom w:val="0"/>
              <w:divBdr>
                <w:top w:val="none" w:sz="0" w:space="0" w:color="auto"/>
                <w:left w:val="none" w:sz="0" w:space="0" w:color="auto"/>
                <w:bottom w:val="none" w:sz="0" w:space="0" w:color="auto"/>
                <w:right w:val="none" w:sz="0" w:space="0" w:color="auto"/>
              </w:divBdr>
            </w:div>
            <w:div w:id="188375922">
              <w:marLeft w:val="0"/>
              <w:marRight w:val="0"/>
              <w:marTop w:val="0"/>
              <w:marBottom w:val="0"/>
              <w:divBdr>
                <w:top w:val="none" w:sz="0" w:space="0" w:color="auto"/>
                <w:left w:val="none" w:sz="0" w:space="0" w:color="auto"/>
                <w:bottom w:val="none" w:sz="0" w:space="0" w:color="auto"/>
                <w:right w:val="none" w:sz="0" w:space="0" w:color="auto"/>
              </w:divBdr>
            </w:div>
            <w:div w:id="534776210">
              <w:marLeft w:val="0"/>
              <w:marRight w:val="0"/>
              <w:marTop w:val="0"/>
              <w:marBottom w:val="0"/>
              <w:divBdr>
                <w:top w:val="none" w:sz="0" w:space="0" w:color="auto"/>
                <w:left w:val="none" w:sz="0" w:space="0" w:color="auto"/>
                <w:bottom w:val="none" w:sz="0" w:space="0" w:color="auto"/>
                <w:right w:val="none" w:sz="0" w:space="0" w:color="auto"/>
              </w:divBdr>
            </w:div>
            <w:div w:id="558177651">
              <w:marLeft w:val="0"/>
              <w:marRight w:val="0"/>
              <w:marTop w:val="0"/>
              <w:marBottom w:val="0"/>
              <w:divBdr>
                <w:top w:val="none" w:sz="0" w:space="0" w:color="auto"/>
                <w:left w:val="none" w:sz="0" w:space="0" w:color="auto"/>
                <w:bottom w:val="none" w:sz="0" w:space="0" w:color="auto"/>
                <w:right w:val="none" w:sz="0" w:space="0" w:color="auto"/>
              </w:divBdr>
            </w:div>
            <w:div w:id="773548947">
              <w:marLeft w:val="0"/>
              <w:marRight w:val="0"/>
              <w:marTop w:val="0"/>
              <w:marBottom w:val="0"/>
              <w:divBdr>
                <w:top w:val="none" w:sz="0" w:space="0" w:color="auto"/>
                <w:left w:val="none" w:sz="0" w:space="0" w:color="auto"/>
                <w:bottom w:val="none" w:sz="0" w:space="0" w:color="auto"/>
                <w:right w:val="none" w:sz="0" w:space="0" w:color="auto"/>
              </w:divBdr>
              <w:divsChild>
                <w:div w:id="1973291266">
                  <w:marLeft w:val="0"/>
                  <w:marRight w:val="0"/>
                  <w:marTop w:val="0"/>
                  <w:marBottom w:val="0"/>
                  <w:divBdr>
                    <w:top w:val="none" w:sz="0" w:space="0" w:color="auto"/>
                    <w:left w:val="none" w:sz="0" w:space="0" w:color="auto"/>
                    <w:bottom w:val="none" w:sz="0" w:space="0" w:color="auto"/>
                    <w:right w:val="none" w:sz="0" w:space="0" w:color="auto"/>
                  </w:divBdr>
                  <w:divsChild>
                    <w:div w:id="1196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1118">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620382163">
      <w:bodyDiv w:val="1"/>
      <w:marLeft w:val="0"/>
      <w:marRight w:val="0"/>
      <w:marTop w:val="0"/>
      <w:marBottom w:val="0"/>
      <w:divBdr>
        <w:top w:val="none" w:sz="0" w:space="0" w:color="auto"/>
        <w:left w:val="none" w:sz="0" w:space="0" w:color="auto"/>
        <w:bottom w:val="none" w:sz="0" w:space="0" w:color="auto"/>
        <w:right w:val="none" w:sz="0" w:space="0" w:color="auto"/>
      </w:divBdr>
    </w:div>
    <w:div w:id="633099179">
      <w:bodyDiv w:val="1"/>
      <w:marLeft w:val="0"/>
      <w:marRight w:val="0"/>
      <w:marTop w:val="0"/>
      <w:marBottom w:val="0"/>
      <w:divBdr>
        <w:top w:val="none" w:sz="0" w:space="0" w:color="auto"/>
        <w:left w:val="none" w:sz="0" w:space="0" w:color="auto"/>
        <w:bottom w:val="none" w:sz="0" w:space="0" w:color="auto"/>
        <w:right w:val="none" w:sz="0" w:space="0" w:color="auto"/>
      </w:divBdr>
      <w:divsChild>
        <w:div w:id="83234551">
          <w:marLeft w:val="0"/>
          <w:marRight w:val="0"/>
          <w:marTop w:val="0"/>
          <w:marBottom w:val="0"/>
          <w:divBdr>
            <w:top w:val="none" w:sz="0" w:space="0" w:color="auto"/>
            <w:left w:val="none" w:sz="0" w:space="0" w:color="auto"/>
            <w:bottom w:val="none" w:sz="0" w:space="0" w:color="auto"/>
            <w:right w:val="none" w:sz="0" w:space="0" w:color="auto"/>
          </w:divBdr>
        </w:div>
      </w:divsChild>
    </w:div>
    <w:div w:id="641083656">
      <w:bodyDiv w:val="1"/>
      <w:marLeft w:val="0"/>
      <w:marRight w:val="0"/>
      <w:marTop w:val="0"/>
      <w:marBottom w:val="0"/>
      <w:divBdr>
        <w:top w:val="none" w:sz="0" w:space="0" w:color="auto"/>
        <w:left w:val="none" w:sz="0" w:space="0" w:color="auto"/>
        <w:bottom w:val="none" w:sz="0" w:space="0" w:color="auto"/>
        <w:right w:val="none" w:sz="0" w:space="0" w:color="auto"/>
      </w:divBdr>
    </w:div>
    <w:div w:id="643969205">
      <w:bodyDiv w:val="1"/>
      <w:marLeft w:val="0"/>
      <w:marRight w:val="0"/>
      <w:marTop w:val="0"/>
      <w:marBottom w:val="0"/>
      <w:divBdr>
        <w:top w:val="none" w:sz="0" w:space="0" w:color="auto"/>
        <w:left w:val="none" w:sz="0" w:space="0" w:color="auto"/>
        <w:bottom w:val="none" w:sz="0" w:space="0" w:color="auto"/>
        <w:right w:val="none" w:sz="0" w:space="0" w:color="auto"/>
      </w:divBdr>
    </w:div>
    <w:div w:id="657733527">
      <w:bodyDiv w:val="1"/>
      <w:marLeft w:val="0"/>
      <w:marRight w:val="0"/>
      <w:marTop w:val="0"/>
      <w:marBottom w:val="0"/>
      <w:divBdr>
        <w:top w:val="none" w:sz="0" w:space="0" w:color="auto"/>
        <w:left w:val="none" w:sz="0" w:space="0" w:color="auto"/>
        <w:bottom w:val="none" w:sz="0" w:space="0" w:color="auto"/>
        <w:right w:val="none" w:sz="0" w:space="0" w:color="auto"/>
      </w:divBdr>
    </w:div>
    <w:div w:id="712265980">
      <w:bodyDiv w:val="1"/>
      <w:marLeft w:val="0"/>
      <w:marRight w:val="0"/>
      <w:marTop w:val="0"/>
      <w:marBottom w:val="0"/>
      <w:divBdr>
        <w:top w:val="none" w:sz="0" w:space="0" w:color="auto"/>
        <w:left w:val="none" w:sz="0" w:space="0" w:color="auto"/>
        <w:bottom w:val="none" w:sz="0" w:space="0" w:color="auto"/>
        <w:right w:val="none" w:sz="0" w:space="0" w:color="auto"/>
      </w:divBdr>
    </w:div>
    <w:div w:id="757100873">
      <w:bodyDiv w:val="1"/>
      <w:marLeft w:val="0"/>
      <w:marRight w:val="0"/>
      <w:marTop w:val="0"/>
      <w:marBottom w:val="0"/>
      <w:divBdr>
        <w:top w:val="none" w:sz="0" w:space="0" w:color="auto"/>
        <w:left w:val="none" w:sz="0" w:space="0" w:color="auto"/>
        <w:bottom w:val="none" w:sz="0" w:space="0" w:color="auto"/>
        <w:right w:val="none" w:sz="0" w:space="0" w:color="auto"/>
      </w:divBdr>
    </w:div>
    <w:div w:id="786391394">
      <w:bodyDiv w:val="1"/>
      <w:marLeft w:val="0"/>
      <w:marRight w:val="0"/>
      <w:marTop w:val="0"/>
      <w:marBottom w:val="0"/>
      <w:divBdr>
        <w:top w:val="none" w:sz="0" w:space="0" w:color="auto"/>
        <w:left w:val="none" w:sz="0" w:space="0" w:color="auto"/>
        <w:bottom w:val="none" w:sz="0" w:space="0" w:color="auto"/>
        <w:right w:val="none" w:sz="0" w:space="0" w:color="auto"/>
      </w:divBdr>
    </w:div>
    <w:div w:id="791366522">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806092958">
      <w:bodyDiv w:val="1"/>
      <w:marLeft w:val="0"/>
      <w:marRight w:val="0"/>
      <w:marTop w:val="0"/>
      <w:marBottom w:val="0"/>
      <w:divBdr>
        <w:top w:val="none" w:sz="0" w:space="0" w:color="auto"/>
        <w:left w:val="none" w:sz="0" w:space="0" w:color="auto"/>
        <w:bottom w:val="none" w:sz="0" w:space="0" w:color="auto"/>
        <w:right w:val="none" w:sz="0" w:space="0" w:color="auto"/>
      </w:divBdr>
    </w:div>
    <w:div w:id="879512380">
      <w:bodyDiv w:val="1"/>
      <w:marLeft w:val="0"/>
      <w:marRight w:val="0"/>
      <w:marTop w:val="0"/>
      <w:marBottom w:val="0"/>
      <w:divBdr>
        <w:top w:val="none" w:sz="0" w:space="0" w:color="auto"/>
        <w:left w:val="none" w:sz="0" w:space="0" w:color="auto"/>
        <w:bottom w:val="none" w:sz="0" w:space="0" w:color="auto"/>
        <w:right w:val="none" w:sz="0" w:space="0" w:color="auto"/>
      </w:divBdr>
    </w:div>
    <w:div w:id="884558106">
      <w:bodyDiv w:val="1"/>
      <w:marLeft w:val="0"/>
      <w:marRight w:val="0"/>
      <w:marTop w:val="0"/>
      <w:marBottom w:val="0"/>
      <w:divBdr>
        <w:top w:val="none" w:sz="0" w:space="0" w:color="auto"/>
        <w:left w:val="none" w:sz="0" w:space="0" w:color="auto"/>
        <w:bottom w:val="none" w:sz="0" w:space="0" w:color="auto"/>
        <w:right w:val="none" w:sz="0" w:space="0" w:color="auto"/>
      </w:divBdr>
    </w:div>
    <w:div w:id="907574236">
      <w:bodyDiv w:val="1"/>
      <w:marLeft w:val="0"/>
      <w:marRight w:val="0"/>
      <w:marTop w:val="0"/>
      <w:marBottom w:val="0"/>
      <w:divBdr>
        <w:top w:val="none" w:sz="0" w:space="0" w:color="auto"/>
        <w:left w:val="none" w:sz="0" w:space="0" w:color="auto"/>
        <w:bottom w:val="none" w:sz="0" w:space="0" w:color="auto"/>
        <w:right w:val="none" w:sz="0" w:space="0" w:color="auto"/>
      </w:divBdr>
    </w:div>
    <w:div w:id="913976184">
      <w:bodyDiv w:val="1"/>
      <w:marLeft w:val="0"/>
      <w:marRight w:val="0"/>
      <w:marTop w:val="0"/>
      <w:marBottom w:val="0"/>
      <w:divBdr>
        <w:top w:val="none" w:sz="0" w:space="0" w:color="auto"/>
        <w:left w:val="none" w:sz="0" w:space="0" w:color="auto"/>
        <w:bottom w:val="none" w:sz="0" w:space="0" w:color="auto"/>
        <w:right w:val="none" w:sz="0" w:space="0" w:color="auto"/>
      </w:divBdr>
    </w:div>
    <w:div w:id="962930125">
      <w:bodyDiv w:val="1"/>
      <w:marLeft w:val="0"/>
      <w:marRight w:val="0"/>
      <w:marTop w:val="0"/>
      <w:marBottom w:val="0"/>
      <w:divBdr>
        <w:top w:val="none" w:sz="0" w:space="0" w:color="auto"/>
        <w:left w:val="none" w:sz="0" w:space="0" w:color="auto"/>
        <w:bottom w:val="none" w:sz="0" w:space="0" w:color="auto"/>
        <w:right w:val="none" w:sz="0" w:space="0" w:color="auto"/>
      </w:divBdr>
    </w:div>
    <w:div w:id="975767079">
      <w:bodyDiv w:val="1"/>
      <w:marLeft w:val="0"/>
      <w:marRight w:val="0"/>
      <w:marTop w:val="0"/>
      <w:marBottom w:val="0"/>
      <w:divBdr>
        <w:top w:val="none" w:sz="0" w:space="0" w:color="auto"/>
        <w:left w:val="none" w:sz="0" w:space="0" w:color="auto"/>
        <w:bottom w:val="none" w:sz="0" w:space="0" w:color="auto"/>
        <w:right w:val="none" w:sz="0" w:space="0" w:color="auto"/>
      </w:divBdr>
    </w:div>
    <w:div w:id="998535059">
      <w:bodyDiv w:val="1"/>
      <w:marLeft w:val="0"/>
      <w:marRight w:val="0"/>
      <w:marTop w:val="0"/>
      <w:marBottom w:val="0"/>
      <w:divBdr>
        <w:top w:val="none" w:sz="0" w:space="0" w:color="auto"/>
        <w:left w:val="none" w:sz="0" w:space="0" w:color="auto"/>
        <w:bottom w:val="none" w:sz="0" w:space="0" w:color="auto"/>
        <w:right w:val="none" w:sz="0" w:space="0" w:color="auto"/>
      </w:divBdr>
    </w:div>
    <w:div w:id="1005210860">
      <w:bodyDiv w:val="1"/>
      <w:marLeft w:val="0"/>
      <w:marRight w:val="0"/>
      <w:marTop w:val="0"/>
      <w:marBottom w:val="0"/>
      <w:divBdr>
        <w:top w:val="none" w:sz="0" w:space="0" w:color="auto"/>
        <w:left w:val="none" w:sz="0" w:space="0" w:color="auto"/>
        <w:bottom w:val="none" w:sz="0" w:space="0" w:color="auto"/>
        <w:right w:val="none" w:sz="0" w:space="0" w:color="auto"/>
      </w:divBdr>
    </w:div>
    <w:div w:id="1065837815">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1105270643">
      <w:bodyDiv w:val="1"/>
      <w:marLeft w:val="0"/>
      <w:marRight w:val="0"/>
      <w:marTop w:val="0"/>
      <w:marBottom w:val="0"/>
      <w:divBdr>
        <w:top w:val="none" w:sz="0" w:space="0" w:color="auto"/>
        <w:left w:val="none" w:sz="0" w:space="0" w:color="auto"/>
        <w:bottom w:val="none" w:sz="0" w:space="0" w:color="auto"/>
        <w:right w:val="none" w:sz="0" w:space="0" w:color="auto"/>
      </w:divBdr>
    </w:div>
    <w:div w:id="1106534370">
      <w:bodyDiv w:val="1"/>
      <w:marLeft w:val="0"/>
      <w:marRight w:val="0"/>
      <w:marTop w:val="0"/>
      <w:marBottom w:val="0"/>
      <w:divBdr>
        <w:top w:val="none" w:sz="0" w:space="0" w:color="auto"/>
        <w:left w:val="none" w:sz="0" w:space="0" w:color="auto"/>
        <w:bottom w:val="none" w:sz="0" w:space="0" w:color="auto"/>
        <w:right w:val="none" w:sz="0" w:space="0" w:color="auto"/>
      </w:divBdr>
    </w:div>
    <w:div w:id="1159691526">
      <w:bodyDiv w:val="1"/>
      <w:marLeft w:val="0"/>
      <w:marRight w:val="0"/>
      <w:marTop w:val="0"/>
      <w:marBottom w:val="0"/>
      <w:divBdr>
        <w:top w:val="none" w:sz="0" w:space="0" w:color="auto"/>
        <w:left w:val="none" w:sz="0" w:space="0" w:color="auto"/>
        <w:bottom w:val="none" w:sz="0" w:space="0" w:color="auto"/>
        <w:right w:val="none" w:sz="0" w:space="0" w:color="auto"/>
      </w:divBdr>
    </w:div>
    <w:div w:id="1173296935">
      <w:bodyDiv w:val="1"/>
      <w:marLeft w:val="0"/>
      <w:marRight w:val="0"/>
      <w:marTop w:val="0"/>
      <w:marBottom w:val="0"/>
      <w:divBdr>
        <w:top w:val="none" w:sz="0" w:space="0" w:color="auto"/>
        <w:left w:val="none" w:sz="0" w:space="0" w:color="auto"/>
        <w:bottom w:val="none" w:sz="0" w:space="0" w:color="auto"/>
        <w:right w:val="none" w:sz="0" w:space="0" w:color="auto"/>
      </w:divBdr>
    </w:div>
    <w:div w:id="1180581634">
      <w:bodyDiv w:val="1"/>
      <w:marLeft w:val="0"/>
      <w:marRight w:val="0"/>
      <w:marTop w:val="0"/>
      <w:marBottom w:val="0"/>
      <w:divBdr>
        <w:top w:val="none" w:sz="0" w:space="0" w:color="auto"/>
        <w:left w:val="none" w:sz="0" w:space="0" w:color="auto"/>
        <w:bottom w:val="none" w:sz="0" w:space="0" w:color="auto"/>
        <w:right w:val="none" w:sz="0" w:space="0" w:color="auto"/>
      </w:divBdr>
    </w:div>
    <w:div w:id="1184788358">
      <w:bodyDiv w:val="1"/>
      <w:marLeft w:val="0"/>
      <w:marRight w:val="0"/>
      <w:marTop w:val="0"/>
      <w:marBottom w:val="0"/>
      <w:divBdr>
        <w:top w:val="none" w:sz="0" w:space="0" w:color="auto"/>
        <w:left w:val="none" w:sz="0" w:space="0" w:color="auto"/>
        <w:bottom w:val="none" w:sz="0" w:space="0" w:color="auto"/>
        <w:right w:val="none" w:sz="0" w:space="0" w:color="auto"/>
      </w:divBdr>
    </w:div>
    <w:div w:id="1225683506">
      <w:bodyDiv w:val="1"/>
      <w:marLeft w:val="0"/>
      <w:marRight w:val="0"/>
      <w:marTop w:val="0"/>
      <w:marBottom w:val="0"/>
      <w:divBdr>
        <w:top w:val="none" w:sz="0" w:space="0" w:color="auto"/>
        <w:left w:val="none" w:sz="0" w:space="0" w:color="auto"/>
        <w:bottom w:val="none" w:sz="0" w:space="0" w:color="auto"/>
        <w:right w:val="none" w:sz="0" w:space="0" w:color="auto"/>
      </w:divBdr>
    </w:div>
    <w:div w:id="1276865208">
      <w:bodyDiv w:val="1"/>
      <w:marLeft w:val="0"/>
      <w:marRight w:val="0"/>
      <w:marTop w:val="0"/>
      <w:marBottom w:val="0"/>
      <w:divBdr>
        <w:top w:val="none" w:sz="0" w:space="0" w:color="auto"/>
        <w:left w:val="none" w:sz="0" w:space="0" w:color="auto"/>
        <w:bottom w:val="none" w:sz="0" w:space="0" w:color="auto"/>
        <w:right w:val="none" w:sz="0" w:space="0" w:color="auto"/>
      </w:divBdr>
    </w:div>
    <w:div w:id="1286498252">
      <w:bodyDiv w:val="1"/>
      <w:marLeft w:val="0"/>
      <w:marRight w:val="0"/>
      <w:marTop w:val="0"/>
      <w:marBottom w:val="0"/>
      <w:divBdr>
        <w:top w:val="none" w:sz="0" w:space="0" w:color="auto"/>
        <w:left w:val="none" w:sz="0" w:space="0" w:color="auto"/>
        <w:bottom w:val="none" w:sz="0" w:space="0" w:color="auto"/>
        <w:right w:val="none" w:sz="0" w:space="0" w:color="auto"/>
      </w:divBdr>
    </w:div>
    <w:div w:id="1299650753">
      <w:bodyDiv w:val="1"/>
      <w:marLeft w:val="0"/>
      <w:marRight w:val="0"/>
      <w:marTop w:val="0"/>
      <w:marBottom w:val="0"/>
      <w:divBdr>
        <w:top w:val="none" w:sz="0" w:space="0" w:color="auto"/>
        <w:left w:val="none" w:sz="0" w:space="0" w:color="auto"/>
        <w:bottom w:val="none" w:sz="0" w:space="0" w:color="auto"/>
        <w:right w:val="none" w:sz="0" w:space="0" w:color="auto"/>
      </w:divBdr>
    </w:div>
    <w:div w:id="1364019922">
      <w:bodyDiv w:val="1"/>
      <w:marLeft w:val="0"/>
      <w:marRight w:val="0"/>
      <w:marTop w:val="0"/>
      <w:marBottom w:val="0"/>
      <w:divBdr>
        <w:top w:val="none" w:sz="0" w:space="0" w:color="auto"/>
        <w:left w:val="none" w:sz="0" w:space="0" w:color="auto"/>
        <w:bottom w:val="none" w:sz="0" w:space="0" w:color="auto"/>
        <w:right w:val="none" w:sz="0" w:space="0" w:color="auto"/>
      </w:divBdr>
    </w:div>
    <w:div w:id="1433669864">
      <w:bodyDiv w:val="1"/>
      <w:marLeft w:val="0"/>
      <w:marRight w:val="0"/>
      <w:marTop w:val="0"/>
      <w:marBottom w:val="0"/>
      <w:divBdr>
        <w:top w:val="none" w:sz="0" w:space="0" w:color="auto"/>
        <w:left w:val="none" w:sz="0" w:space="0" w:color="auto"/>
        <w:bottom w:val="none" w:sz="0" w:space="0" w:color="auto"/>
        <w:right w:val="none" w:sz="0" w:space="0" w:color="auto"/>
      </w:divBdr>
    </w:div>
    <w:div w:id="1488589967">
      <w:bodyDiv w:val="1"/>
      <w:marLeft w:val="0"/>
      <w:marRight w:val="0"/>
      <w:marTop w:val="0"/>
      <w:marBottom w:val="0"/>
      <w:divBdr>
        <w:top w:val="none" w:sz="0" w:space="0" w:color="auto"/>
        <w:left w:val="none" w:sz="0" w:space="0" w:color="auto"/>
        <w:bottom w:val="none" w:sz="0" w:space="0" w:color="auto"/>
        <w:right w:val="none" w:sz="0" w:space="0" w:color="auto"/>
      </w:divBdr>
    </w:div>
    <w:div w:id="1542093751">
      <w:bodyDiv w:val="1"/>
      <w:marLeft w:val="0"/>
      <w:marRight w:val="0"/>
      <w:marTop w:val="0"/>
      <w:marBottom w:val="0"/>
      <w:divBdr>
        <w:top w:val="none" w:sz="0" w:space="0" w:color="auto"/>
        <w:left w:val="none" w:sz="0" w:space="0" w:color="auto"/>
        <w:bottom w:val="none" w:sz="0" w:space="0" w:color="auto"/>
        <w:right w:val="none" w:sz="0" w:space="0" w:color="auto"/>
      </w:divBdr>
    </w:div>
    <w:div w:id="1567448908">
      <w:bodyDiv w:val="1"/>
      <w:marLeft w:val="0"/>
      <w:marRight w:val="0"/>
      <w:marTop w:val="0"/>
      <w:marBottom w:val="0"/>
      <w:divBdr>
        <w:top w:val="none" w:sz="0" w:space="0" w:color="auto"/>
        <w:left w:val="none" w:sz="0" w:space="0" w:color="auto"/>
        <w:bottom w:val="none" w:sz="0" w:space="0" w:color="auto"/>
        <w:right w:val="none" w:sz="0" w:space="0" w:color="auto"/>
      </w:divBdr>
    </w:div>
    <w:div w:id="1599095215">
      <w:bodyDiv w:val="1"/>
      <w:marLeft w:val="0"/>
      <w:marRight w:val="0"/>
      <w:marTop w:val="0"/>
      <w:marBottom w:val="0"/>
      <w:divBdr>
        <w:top w:val="none" w:sz="0" w:space="0" w:color="auto"/>
        <w:left w:val="none" w:sz="0" w:space="0" w:color="auto"/>
        <w:bottom w:val="none" w:sz="0" w:space="0" w:color="auto"/>
        <w:right w:val="none" w:sz="0" w:space="0" w:color="auto"/>
      </w:divBdr>
    </w:div>
    <w:div w:id="1606838976">
      <w:bodyDiv w:val="1"/>
      <w:marLeft w:val="0"/>
      <w:marRight w:val="0"/>
      <w:marTop w:val="0"/>
      <w:marBottom w:val="0"/>
      <w:divBdr>
        <w:top w:val="none" w:sz="0" w:space="0" w:color="auto"/>
        <w:left w:val="none" w:sz="0" w:space="0" w:color="auto"/>
        <w:bottom w:val="none" w:sz="0" w:space="0" w:color="auto"/>
        <w:right w:val="none" w:sz="0" w:space="0" w:color="auto"/>
      </w:divBdr>
    </w:div>
    <w:div w:id="1662805794">
      <w:bodyDiv w:val="1"/>
      <w:marLeft w:val="0"/>
      <w:marRight w:val="0"/>
      <w:marTop w:val="0"/>
      <w:marBottom w:val="0"/>
      <w:divBdr>
        <w:top w:val="none" w:sz="0" w:space="0" w:color="auto"/>
        <w:left w:val="none" w:sz="0" w:space="0" w:color="auto"/>
        <w:bottom w:val="none" w:sz="0" w:space="0" w:color="auto"/>
        <w:right w:val="none" w:sz="0" w:space="0" w:color="auto"/>
      </w:divBdr>
    </w:div>
    <w:div w:id="1692535732">
      <w:bodyDiv w:val="1"/>
      <w:marLeft w:val="0"/>
      <w:marRight w:val="0"/>
      <w:marTop w:val="0"/>
      <w:marBottom w:val="0"/>
      <w:divBdr>
        <w:top w:val="none" w:sz="0" w:space="0" w:color="auto"/>
        <w:left w:val="none" w:sz="0" w:space="0" w:color="auto"/>
        <w:bottom w:val="none" w:sz="0" w:space="0" w:color="auto"/>
        <w:right w:val="none" w:sz="0" w:space="0" w:color="auto"/>
      </w:divBdr>
    </w:div>
    <w:div w:id="1751926104">
      <w:bodyDiv w:val="1"/>
      <w:marLeft w:val="0"/>
      <w:marRight w:val="0"/>
      <w:marTop w:val="0"/>
      <w:marBottom w:val="0"/>
      <w:divBdr>
        <w:top w:val="none" w:sz="0" w:space="0" w:color="auto"/>
        <w:left w:val="none" w:sz="0" w:space="0" w:color="auto"/>
        <w:bottom w:val="none" w:sz="0" w:space="0" w:color="auto"/>
        <w:right w:val="none" w:sz="0" w:space="0" w:color="auto"/>
      </w:divBdr>
    </w:div>
    <w:div w:id="1770663635">
      <w:bodyDiv w:val="1"/>
      <w:marLeft w:val="0"/>
      <w:marRight w:val="0"/>
      <w:marTop w:val="0"/>
      <w:marBottom w:val="0"/>
      <w:divBdr>
        <w:top w:val="none" w:sz="0" w:space="0" w:color="auto"/>
        <w:left w:val="none" w:sz="0" w:space="0" w:color="auto"/>
        <w:bottom w:val="none" w:sz="0" w:space="0" w:color="auto"/>
        <w:right w:val="none" w:sz="0" w:space="0" w:color="auto"/>
      </w:divBdr>
    </w:div>
    <w:div w:id="1913616107">
      <w:bodyDiv w:val="1"/>
      <w:marLeft w:val="0"/>
      <w:marRight w:val="0"/>
      <w:marTop w:val="0"/>
      <w:marBottom w:val="0"/>
      <w:divBdr>
        <w:top w:val="none" w:sz="0" w:space="0" w:color="auto"/>
        <w:left w:val="none" w:sz="0" w:space="0" w:color="auto"/>
        <w:bottom w:val="none" w:sz="0" w:space="0" w:color="auto"/>
        <w:right w:val="none" w:sz="0" w:space="0" w:color="auto"/>
      </w:divBdr>
    </w:div>
    <w:div w:id="1927835152">
      <w:bodyDiv w:val="1"/>
      <w:marLeft w:val="0"/>
      <w:marRight w:val="0"/>
      <w:marTop w:val="0"/>
      <w:marBottom w:val="0"/>
      <w:divBdr>
        <w:top w:val="none" w:sz="0" w:space="0" w:color="auto"/>
        <w:left w:val="none" w:sz="0" w:space="0" w:color="auto"/>
        <w:bottom w:val="none" w:sz="0" w:space="0" w:color="auto"/>
        <w:right w:val="none" w:sz="0" w:space="0" w:color="auto"/>
      </w:divBdr>
    </w:div>
    <w:div w:id="1933705253">
      <w:bodyDiv w:val="1"/>
      <w:marLeft w:val="0"/>
      <w:marRight w:val="0"/>
      <w:marTop w:val="0"/>
      <w:marBottom w:val="0"/>
      <w:divBdr>
        <w:top w:val="none" w:sz="0" w:space="0" w:color="auto"/>
        <w:left w:val="none" w:sz="0" w:space="0" w:color="auto"/>
        <w:bottom w:val="none" w:sz="0" w:space="0" w:color="auto"/>
        <w:right w:val="none" w:sz="0" w:space="0" w:color="auto"/>
      </w:divBdr>
    </w:div>
    <w:div w:id="2032877124">
      <w:bodyDiv w:val="1"/>
      <w:marLeft w:val="0"/>
      <w:marRight w:val="0"/>
      <w:marTop w:val="0"/>
      <w:marBottom w:val="0"/>
      <w:divBdr>
        <w:top w:val="none" w:sz="0" w:space="0" w:color="auto"/>
        <w:left w:val="none" w:sz="0" w:space="0" w:color="auto"/>
        <w:bottom w:val="none" w:sz="0" w:space="0" w:color="auto"/>
        <w:right w:val="none" w:sz="0" w:space="0" w:color="auto"/>
      </w:divBdr>
    </w:div>
    <w:div w:id="2071465021">
      <w:bodyDiv w:val="1"/>
      <w:marLeft w:val="0"/>
      <w:marRight w:val="0"/>
      <w:marTop w:val="0"/>
      <w:marBottom w:val="0"/>
      <w:divBdr>
        <w:top w:val="none" w:sz="0" w:space="0" w:color="auto"/>
        <w:left w:val="none" w:sz="0" w:space="0" w:color="auto"/>
        <w:bottom w:val="none" w:sz="0" w:space="0" w:color="auto"/>
        <w:right w:val="none" w:sz="0" w:space="0" w:color="auto"/>
      </w:divBdr>
    </w:div>
    <w:div w:id="2080858841">
      <w:bodyDiv w:val="1"/>
      <w:marLeft w:val="0"/>
      <w:marRight w:val="0"/>
      <w:marTop w:val="0"/>
      <w:marBottom w:val="0"/>
      <w:divBdr>
        <w:top w:val="none" w:sz="0" w:space="0" w:color="auto"/>
        <w:left w:val="none" w:sz="0" w:space="0" w:color="auto"/>
        <w:bottom w:val="none" w:sz="0" w:space="0" w:color="auto"/>
        <w:right w:val="none" w:sz="0" w:space="0" w:color="auto"/>
      </w:divBdr>
    </w:div>
    <w:div w:id="21067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fingocz"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facebook.com/fingo.cz"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fingocz3140" TargetMode="External"/><Relationship Id="rId5" Type="http://schemas.openxmlformats.org/officeDocument/2006/relationships/numbering" Target="numbering.xml"/><Relationship Id="rId15" Type="http://schemas.openxmlformats.org/officeDocument/2006/relationships/hyperlink" Target="https://www.linkedin.com/company/fingo-cz/"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8" ma:contentTypeDescription="Vytvoří nový dokument" ma:contentTypeScope="" ma:versionID="161e9df844dcf50cd73af27870c190c6">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c3628c2fb9054021a6ad666509f1871f"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2.xml><?xml version="1.0" encoding="utf-8"?>
<ds:datastoreItem xmlns:ds="http://schemas.openxmlformats.org/officeDocument/2006/customXml" ds:itemID="{9E6E8602-1146-4A4E-9988-0A68C2B718DE}">
  <ds:schemaRefs>
    <ds:schemaRef ds:uri="http://schemas.microsoft.com/sharepoint/v3/contenttype/forms"/>
  </ds:schemaRefs>
</ds:datastoreItem>
</file>

<file path=customXml/itemProps3.xml><?xml version="1.0" encoding="utf-8"?>
<ds:datastoreItem xmlns:ds="http://schemas.openxmlformats.org/officeDocument/2006/customXml" ds:itemID="{60987C92-30E1-4D02-AC4F-FE070F618B3B}">
  <ds:schemaRefs>
    <ds:schemaRef ds:uri="http://schemas.openxmlformats.org/officeDocument/2006/bibliography"/>
  </ds:schemaRefs>
</ds:datastoreItem>
</file>

<file path=customXml/itemProps4.xml><?xml version="1.0" encoding="utf-8"?>
<ds:datastoreItem xmlns:ds="http://schemas.openxmlformats.org/officeDocument/2006/customXml" ds:itemID="{8CB66608-9DD7-4175-9887-E9E474D4D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FinGO_Sablona.dotx</Template>
  <TotalTime>3</TotalTime>
  <Pages>3</Pages>
  <Words>1083</Words>
  <Characters>6395</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Jakub Knapp</cp:lastModifiedBy>
  <cp:revision>11</cp:revision>
  <dcterms:created xsi:type="dcterms:W3CDTF">2025-08-15T07:49:00Z</dcterms:created>
  <dcterms:modified xsi:type="dcterms:W3CDTF">2025-08-18T08:28:00Z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