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45CA" w14:textId="1CB23E6B" w:rsidR="00543611" w:rsidRPr="00B038A8" w:rsidRDefault="00543611" w:rsidP="00B038A8">
      <w:pPr>
        <w:spacing w:line="276" w:lineRule="auto"/>
        <w:jc w:val="both"/>
        <w:rPr>
          <w:b/>
          <w:bCs/>
          <w:sz w:val="24"/>
          <w:szCs w:val="24"/>
        </w:rPr>
      </w:pPr>
    </w:p>
    <w:p w14:paraId="752AAE71" w14:textId="49B225E4" w:rsidR="00C73164" w:rsidRPr="00AC320B" w:rsidRDefault="00C73164" w:rsidP="00C00E9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320B">
        <w:rPr>
          <w:rFonts w:ascii="Arial" w:hAnsi="Arial" w:cs="Arial"/>
          <w:b/>
          <w:bCs/>
          <w:sz w:val="28"/>
          <w:szCs w:val="28"/>
        </w:rPr>
        <w:t>Češi konsolidují půjčky více než kdy dřív</w:t>
      </w:r>
      <w:r w:rsidR="00656556">
        <w:rPr>
          <w:rFonts w:ascii="Arial" w:hAnsi="Arial" w:cs="Arial"/>
          <w:b/>
          <w:bCs/>
          <w:sz w:val="28"/>
          <w:szCs w:val="28"/>
        </w:rPr>
        <w:t xml:space="preserve">. </w:t>
      </w:r>
      <w:r w:rsidR="00656556">
        <w:rPr>
          <w:rFonts w:ascii="Arial" w:hAnsi="Arial" w:cs="Arial"/>
          <w:b/>
          <w:bCs/>
          <w:sz w:val="28"/>
          <w:szCs w:val="28"/>
        </w:rPr>
        <w:br/>
      </w:r>
      <w:r w:rsidRPr="00AC320B">
        <w:rPr>
          <w:rFonts w:ascii="Arial" w:hAnsi="Arial" w:cs="Arial"/>
          <w:b/>
          <w:bCs/>
          <w:sz w:val="28"/>
          <w:szCs w:val="28"/>
        </w:rPr>
        <w:t xml:space="preserve">Home Credit v roce 2025 refinancoval </w:t>
      </w:r>
      <w:r w:rsidRPr="00732559">
        <w:rPr>
          <w:rFonts w:ascii="Arial" w:hAnsi="Arial" w:cs="Arial"/>
          <w:b/>
          <w:bCs/>
          <w:sz w:val="28"/>
          <w:szCs w:val="28"/>
        </w:rPr>
        <w:t xml:space="preserve">přes </w:t>
      </w:r>
      <w:r w:rsidR="00411CDA" w:rsidRPr="00732559">
        <w:rPr>
          <w:rFonts w:ascii="Arial" w:hAnsi="Arial" w:cs="Arial"/>
          <w:b/>
          <w:bCs/>
          <w:sz w:val="28"/>
          <w:szCs w:val="28"/>
        </w:rPr>
        <w:t>3,</w:t>
      </w:r>
      <w:r w:rsidR="009C0B4B" w:rsidRPr="00732559">
        <w:rPr>
          <w:rFonts w:ascii="Arial" w:hAnsi="Arial" w:cs="Arial"/>
          <w:b/>
          <w:bCs/>
          <w:sz w:val="28"/>
          <w:szCs w:val="28"/>
        </w:rPr>
        <w:t>3</w:t>
      </w:r>
      <w:r w:rsidRPr="00AC320B">
        <w:rPr>
          <w:rFonts w:ascii="Arial" w:hAnsi="Arial" w:cs="Arial"/>
          <w:b/>
          <w:bCs/>
          <w:sz w:val="28"/>
          <w:szCs w:val="28"/>
        </w:rPr>
        <w:t xml:space="preserve"> miliard</w:t>
      </w:r>
      <w:r w:rsidR="0094607C">
        <w:rPr>
          <w:rFonts w:ascii="Arial" w:hAnsi="Arial" w:cs="Arial"/>
          <w:b/>
          <w:bCs/>
          <w:sz w:val="28"/>
          <w:szCs w:val="28"/>
        </w:rPr>
        <w:t>y</w:t>
      </w:r>
      <w:r w:rsidRPr="00AC320B">
        <w:rPr>
          <w:rFonts w:ascii="Arial" w:hAnsi="Arial" w:cs="Arial"/>
          <w:b/>
          <w:bCs/>
          <w:sz w:val="28"/>
          <w:szCs w:val="28"/>
        </w:rPr>
        <w:t xml:space="preserve"> korun</w:t>
      </w:r>
    </w:p>
    <w:p w14:paraId="0712BEB4" w14:textId="77777777" w:rsidR="00C73164" w:rsidRPr="00C00E90" w:rsidRDefault="00C73164" w:rsidP="0043501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250C4AAC" w14:textId="06141C14" w:rsidR="00435015" w:rsidRPr="00C00E90" w:rsidRDefault="00435015" w:rsidP="00435015">
      <w:pPr>
        <w:pStyle w:val="Bezmezer"/>
        <w:jc w:val="both"/>
        <w:rPr>
          <w:rFonts w:ascii="Arial" w:hAnsi="Arial" w:cs="Arial"/>
          <w:b/>
          <w:bCs/>
          <w:sz w:val="21"/>
          <w:szCs w:val="21"/>
        </w:rPr>
      </w:pPr>
      <w:r w:rsidRPr="00C00E90">
        <w:rPr>
          <w:rFonts w:ascii="Arial" w:hAnsi="Arial" w:cs="Arial"/>
          <w:b/>
          <w:bCs/>
          <w:sz w:val="21"/>
          <w:szCs w:val="21"/>
        </w:rPr>
        <w:t xml:space="preserve">Brno, </w:t>
      </w:r>
      <w:r w:rsidR="00BB69C6">
        <w:rPr>
          <w:rFonts w:ascii="Arial" w:hAnsi="Arial" w:cs="Arial"/>
          <w:b/>
          <w:bCs/>
          <w:sz w:val="21"/>
          <w:szCs w:val="21"/>
        </w:rPr>
        <w:t>26</w:t>
      </w:r>
      <w:r w:rsidRPr="00C00E90">
        <w:rPr>
          <w:rFonts w:ascii="Arial" w:hAnsi="Arial" w:cs="Arial"/>
          <w:b/>
          <w:bCs/>
          <w:sz w:val="21"/>
          <w:szCs w:val="21"/>
        </w:rPr>
        <w:t xml:space="preserve">. </w:t>
      </w:r>
      <w:r w:rsidR="00BB69C6">
        <w:rPr>
          <w:rFonts w:ascii="Arial" w:hAnsi="Arial" w:cs="Arial"/>
          <w:b/>
          <w:bCs/>
          <w:sz w:val="21"/>
          <w:szCs w:val="21"/>
        </w:rPr>
        <w:t>3</w:t>
      </w:r>
      <w:r w:rsidR="00C00E90">
        <w:rPr>
          <w:rFonts w:ascii="Arial" w:hAnsi="Arial" w:cs="Arial"/>
          <w:b/>
          <w:bCs/>
          <w:sz w:val="21"/>
          <w:szCs w:val="21"/>
        </w:rPr>
        <w:t>.</w:t>
      </w:r>
      <w:r w:rsidRPr="00C00E90">
        <w:rPr>
          <w:rFonts w:ascii="Arial" w:hAnsi="Arial" w:cs="Arial"/>
          <w:b/>
          <w:bCs/>
          <w:sz w:val="21"/>
          <w:szCs w:val="21"/>
        </w:rPr>
        <w:t xml:space="preserve"> 202</w:t>
      </w:r>
      <w:r w:rsidR="009D3FFE" w:rsidRPr="00C00E90">
        <w:rPr>
          <w:rFonts w:ascii="Arial" w:hAnsi="Arial" w:cs="Arial"/>
          <w:b/>
          <w:bCs/>
          <w:sz w:val="21"/>
          <w:szCs w:val="21"/>
        </w:rPr>
        <w:t>6</w:t>
      </w:r>
    </w:p>
    <w:p w14:paraId="135BA6A9" w14:textId="77777777" w:rsidR="00B038A8" w:rsidRPr="00C00E90" w:rsidRDefault="00B038A8" w:rsidP="00B038A8">
      <w:pPr>
        <w:pStyle w:val="Bezmezer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32119862" w14:textId="6B2E7C6C" w:rsidR="00C00E90" w:rsidRPr="00732559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 xml:space="preserve">Zájem Čechů o </w:t>
      </w:r>
      <w:r w:rsidR="00C00E90">
        <w:rPr>
          <w:rFonts w:ascii="Arial" w:eastAsia="Aptos" w:hAnsi="Arial" w:cs="Arial"/>
          <w:b/>
          <w:bCs/>
          <w:sz w:val="21"/>
          <w:szCs w:val="21"/>
        </w:rPr>
        <w:t>slučování</w:t>
      </w:r>
      <w:r w:rsidR="00C00E90" w:rsidRPr="00C00E90">
        <w:rPr>
          <w:rFonts w:ascii="Arial" w:eastAsia="Aptos" w:hAnsi="Arial" w:cs="Arial"/>
          <w:b/>
          <w:bCs/>
          <w:sz w:val="21"/>
          <w:szCs w:val="21"/>
        </w:rPr>
        <w:t xml:space="preserve"> </w:t>
      </w:r>
      <w:r w:rsidRPr="00C00E90">
        <w:rPr>
          <w:rFonts w:ascii="Arial" w:eastAsia="Aptos" w:hAnsi="Arial" w:cs="Arial"/>
          <w:b/>
          <w:bCs/>
          <w:sz w:val="21"/>
          <w:szCs w:val="21"/>
        </w:rPr>
        <w:t xml:space="preserve">více úvěrů do jednoho nadále roste. Home Credit v roce 2025 refinancoval půjčky v celkovém objemu 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přes </w:t>
      </w:r>
      <w:r w:rsidR="00411CDA" w:rsidRPr="00732559">
        <w:rPr>
          <w:rFonts w:ascii="Arial" w:eastAsia="Aptos" w:hAnsi="Arial" w:cs="Arial"/>
          <w:b/>
          <w:bCs/>
          <w:sz w:val="21"/>
          <w:szCs w:val="21"/>
        </w:rPr>
        <w:t>3,</w:t>
      </w:r>
      <w:r w:rsidR="009C0B4B" w:rsidRPr="00732559">
        <w:rPr>
          <w:rFonts w:ascii="Arial" w:eastAsia="Aptos" w:hAnsi="Arial" w:cs="Arial"/>
          <w:b/>
          <w:bCs/>
          <w:sz w:val="21"/>
          <w:szCs w:val="21"/>
        </w:rPr>
        <w:t>3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 miliard</w:t>
      </w:r>
      <w:r w:rsidR="0094607C" w:rsidRPr="00732559">
        <w:rPr>
          <w:rFonts w:ascii="Arial" w:eastAsia="Aptos" w:hAnsi="Arial" w:cs="Arial"/>
          <w:b/>
          <w:bCs/>
          <w:sz w:val="21"/>
          <w:szCs w:val="21"/>
        </w:rPr>
        <w:t>y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 korun, což představuje meziroční nárůst o </w:t>
      </w:r>
      <w:r w:rsidR="009C0B4B" w:rsidRPr="00732559">
        <w:rPr>
          <w:rFonts w:ascii="Arial" w:eastAsia="Aptos" w:hAnsi="Arial" w:cs="Arial"/>
          <w:b/>
          <w:bCs/>
          <w:sz w:val="21"/>
          <w:szCs w:val="21"/>
        </w:rPr>
        <w:t xml:space="preserve">téměř </w:t>
      </w:r>
      <w:r w:rsidR="00411CDA" w:rsidRPr="00732559">
        <w:rPr>
          <w:rFonts w:ascii="Arial" w:eastAsia="Aptos" w:hAnsi="Arial" w:cs="Arial"/>
          <w:b/>
          <w:bCs/>
          <w:sz w:val="21"/>
          <w:szCs w:val="21"/>
        </w:rPr>
        <w:t>49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 procent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>. Pro srovnání</w:t>
      </w:r>
      <w:r w:rsidR="00732559" w:rsidRPr="00732559">
        <w:rPr>
          <w:rFonts w:ascii="Arial" w:eastAsia="Aptos" w:hAnsi="Arial" w:cs="Arial"/>
          <w:b/>
          <w:bCs/>
          <w:sz w:val="21"/>
          <w:szCs w:val="21"/>
        </w:rPr>
        <w:t xml:space="preserve">, 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 xml:space="preserve">v roce 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>2024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 xml:space="preserve"> dosáhl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 objem konsolidací 2,2 miliardy korun a meziročně vzrostl o 34 procent. T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>ento t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>rend potvrzuje, že Češi přistupují ke správě svých financí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 xml:space="preserve"> stále zodpovědněji</w:t>
      </w:r>
      <w:r w:rsidRPr="00732559">
        <w:rPr>
          <w:rFonts w:ascii="Arial" w:eastAsia="Aptos" w:hAnsi="Arial" w:cs="Arial"/>
          <w:b/>
          <w:bCs/>
          <w:sz w:val="21"/>
          <w:szCs w:val="21"/>
        </w:rPr>
        <w:t xml:space="preserve"> a aktivně hledají způsoby, jak své závazky zjednodušit a </w:t>
      </w:r>
      <w:r w:rsidR="00C00E90" w:rsidRPr="00732559">
        <w:rPr>
          <w:rFonts w:ascii="Arial" w:eastAsia="Aptos" w:hAnsi="Arial" w:cs="Arial"/>
          <w:b/>
          <w:bCs/>
          <w:sz w:val="21"/>
          <w:szCs w:val="21"/>
        </w:rPr>
        <w:t>lépe nastavit.</w:t>
      </w:r>
    </w:p>
    <w:p w14:paraId="30176F82" w14:textId="77777777" w:rsidR="00C73164" w:rsidRPr="00732559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526FB5D4" w14:textId="59FA94A5" w:rsidR="00C86ABF" w:rsidRPr="00C86ABF" w:rsidRDefault="00C73164" w:rsidP="00C86ABF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732559">
        <w:rPr>
          <w:rFonts w:ascii="Arial" w:eastAsia="Aptos" w:hAnsi="Arial" w:cs="Arial"/>
          <w:sz w:val="21"/>
          <w:szCs w:val="21"/>
        </w:rPr>
        <w:t xml:space="preserve">Rostoucí zájem o konsolidaci </w:t>
      </w:r>
      <w:r w:rsidR="00C86ABF" w:rsidRPr="00732559">
        <w:rPr>
          <w:rFonts w:ascii="Arial" w:eastAsia="Aptos" w:hAnsi="Arial" w:cs="Arial"/>
          <w:sz w:val="21"/>
          <w:szCs w:val="21"/>
        </w:rPr>
        <w:t>půjček</w:t>
      </w:r>
      <w:r w:rsidRPr="00732559">
        <w:rPr>
          <w:rFonts w:ascii="Arial" w:eastAsia="Aptos" w:hAnsi="Arial" w:cs="Arial"/>
          <w:sz w:val="21"/>
          <w:szCs w:val="21"/>
        </w:rPr>
        <w:t xml:space="preserve"> není náhodný. Podle </w:t>
      </w:r>
      <w:r w:rsidR="00C86ABF" w:rsidRPr="00732559">
        <w:rPr>
          <w:rFonts w:ascii="Arial" w:eastAsia="Aptos" w:hAnsi="Arial" w:cs="Arial"/>
          <w:sz w:val="21"/>
          <w:szCs w:val="21"/>
        </w:rPr>
        <w:t>údajů</w:t>
      </w:r>
      <w:r w:rsidRPr="00732559">
        <w:rPr>
          <w:rFonts w:ascii="Arial" w:eastAsia="Aptos" w:hAnsi="Arial" w:cs="Arial"/>
          <w:sz w:val="21"/>
          <w:szCs w:val="21"/>
        </w:rPr>
        <w:t xml:space="preserve"> České bankovní asociace</w:t>
      </w:r>
      <w:r w:rsidRPr="00C00E90">
        <w:rPr>
          <w:rFonts w:ascii="Arial" w:eastAsia="Aptos" w:hAnsi="Arial" w:cs="Arial"/>
          <w:sz w:val="21"/>
          <w:szCs w:val="21"/>
        </w:rPr>
        <w:t xml:space="preserve"> má zkušenost se</w:t>
      </w:r>
      <w:r w:rsidR="00935D0D">
        <w:rPr>
          <w:rFonts w:ascii="Arial" w:eastAsia="Aptos" w:hAnsi="Arial" w:cs="Arial"/>
          <w:sz w:val="21"/>
          <w:szCs w:val="21"/>
        </w:rPr>
        <w:t> </w:t>
      </w:r>
      <w:r w:rsidRPr="00C00E90">
        <w:rPr>
          <w:rFonts w:ascii="Arial" w:eastAsia="Aptos" w:hAnsi="Arial" w:cs="Arial"/>
          <w:sz w:val="21"/>
          <w:szCs w:val="21"/>
        </w:rPr>
        <w:t>spotřebitelskými úvěry osm z deseti Čechů, což dokládá</w:t>
      </w:r>
      <w:r w:rsidR="00C86ABF">
        <w:rPr>
          <w:rFonts w:ascii="Arial" w:eastAsia="Aptos" w:hAnsi="Arial" w:cs="Arial"/>
          <w:sz w:val="21"/>
          <w:szCs w:val="21"/>
        </w:rPr>
        <w:t xml:space="preserve"> význam </w:t>
      </w:r>
      <w:r w:rsidRPr="00C00E90">
        <w:rPr>
          <w:rFonts w:ascii="Arial" w:eastAsia="Aptos" w:hAnsi="Arial" w:cs="Arial"/>
          <w:sz w:val="21"/>
          <w:szCs w:val="21"/>
        </w:rPr>
        <w:t>efektivní správy více závazků najednou.</w:t>
      </w:r>
      <w:r w:rsidR="00C86ABF">
        <w:rPr>
          <w:rFonts w:ascii="Arial" w:eastAsia="Aptos" w:hAnsi="Arial" w:cs="Arial"/>
          <w:sz w:val="21"/>
          <w:szCs w:val="21"/>
        </w:rPr>
        <w:t xml:space="preserve"> Aby se lidem celý proces zjednodušil, zavedla </w:t>
      </w:r>
      <w:r w:rsidRPr="00C00E90">
        <w:rPr>
          <w:rFonts w:ascii="Arial" w:eastAsia="Aptos" w:hAnsi="Arial" w:cs="Arial"/>
          <w:sz w:val="21"/>
          <w:szCs w:val="21"/>
        </w:rPr>
        <w:t xml:space="preserve">ČBA standardizovaný </w:t>
      </w:r>
      <w:r w:rsidR="00C86ABF">
        <w:rPr>
          <w:rFonts w:ascii="Arial" w:eastAsia="Aptos" w:hAnsi="Arial" w:cs="Arial"/>
          <w:sz w:val="21"/>
          <w:szCs w:val="21"/>
        </w:rPr>
        <w:t xml:space="preserve">postup pro </w:t>
      </w:r>
      <w:r w:rsidRPr="00C00E90">
        <w:rPr>
          <w:rFonts w:ascii="Arial" w:eastAsia="Aptos" w:hAnsi="Arial" w:cs="Arial"/>
          <w:sz w:val="21"/>
          <w:szCs w:val="21"/>
        </w:rPr>
        <w:t>refinancování nezajištěných spotřebitelských úvěrů</w:t>
      </w:r>
      <w:r w:rsidR="00C86ABF">
        <w:rPr>
          <w:rFonts w:ascii="Arial" w:eastAsia="Aptos" w:hAnsi="Arial" w:cs="Arial"/>
          <w:sz w:val="21"/>
          <w:szCs w:val="21"/>
        </w:rPr>
        <w:t>.</w:t>
      </w:r>
      <w:r w:rsidRPr="00C00E90">
        <w:rPr>
          <w:rFonts w:ascii="Arial" w:eastAsia="Aptos" w:hAnsi="Arial" w:cs="Arial"/>
          <w:sz w:val="21"/>
          <w:szCs w:val="21"/>
        </w:rPr>
        <w:t xml:space="preserve"> </w:t>
      </w:r>
      <w:r w:rsidR="00C86ABF">
        <w:rPr>
          <w:rFonts w:ascii="Arial" w:eastAsia="Aptos" w:hAnsi="Arial" w:cs="Arial"/>
          <w:sz w:val="21"/>
          <w:szCs w:val="21"/>
        </w:rPr>
        <w:t>J</w:t>
      </w:r>
      <w:r w:rsidRPr="00C00E90">
        <w:rPr>
          <w:rFonts w:ascii="Arial" w:eastAsia="Aptos" w:hAnsi="Arial" w:cs="Arial"/>
          <w:sz w:val="21"/>
          <w:szCs w:val="21"/>
        </w:rPr>
        <w:t>eho cílem je</w:t>
      </w:r>
      <w:r w:rsidR="00C86ABF">
        <w:rPr>
          <w:rFonts w:ascii="Arial" w:eastAsia="Aptos" w:hAnsi="Arial" w:cs="Arial"/>
          <w:sz w:val="21"/>
          <w:szCs w:val="21"/>
        </w:rPr>
        <w:t xml:space="preserve"> </w:t>
      </w:r>
      <w:r w:rsidRPr="00C00E90">
        <w:rPr>
          <w:rFonts w:ascii="Arial" w:eastAsia="Aptos" w:hAnsi="Arial" w:cs="Arial"/>
          <w:sz w:val="21"/>
          <w:szCs w:val="21"/>
        </w:rPr>
        <w:t xml:space="preserve">zrychlit </w:t>
      </w:r>
      <w:r w:rsidR="00C86ABF">
        <w:rPr>
          <w:rFonts w:ascii="Arial" w:eastAsia="Aptos" w:hAnsi="Arial" w:cs="Arial"/>
          <w:sz w:val="21"/>
          <w:szCs w:val="21"/>
        </w:rPr>
        <w:t xml:space="preserve">a zpřehlednit </w:t>
      </w:r>
      <w:r w:rsidRPr="00C00E90">
        <w:rPr>
          <w:rFonts w:ascii="Arial" w:eastAsia="Aptos" w:hAnsi="Arial" w:cs="Arial"/>
          <w:sz w:val="21"/>
          <w:szCs w:val="21"/>
        </w:rPr>
        <w:t xml:space="preserve">převod půjček mezi </w:t>
      </w:r>
      <w:r w:rsidR="00C86ABF">
        <w:rPr>
          <w:rFonts w:ascii="Arial" w:eastAsia="Aptos" w:hAnsi="Arial" w:cs="Arial"/>
          <w:sz w:val="21"/>
          <w:szCs w:val="21"/>
        </w:rPr>
        <w:t xml:space="preserve">jednotlivými </w:t>
      </w:r>
      <w:r w:rsidRPr="00C00E90">
        <w:rPr>
          <w:rFonts w:ascii="Arial" w:eastAsia="Aptos" w:hAnsi="Arial" w:cs="Arial"/>
          <w:sz w:val="21"/>
          <w:szCs w:val="21"/>
        </w:rPr>
        <w:t>poskytovateli</w:t>
      </w:r>
      <w:r w:rsidR="00C86ABF">
        <w:rPr>
          <w:rFonts w:ascii="Arial" w:eastAsia="Aptos" w:hAnsi="Arial" w:cs="Arial"/>
          <w:sz w:val="21"/>
          <w:szCs w:val="21"/>
        </w:rPr>
        <w:t xml:space="preserve">, </w:t>
      </w:r>
      <w:r w:rsidR="00C86ABF" w:rsidRPr="00C86ABF">
        <w:rPr>
          <w:rFonts w:ascii="Arial" w:eastAsia="Aptos" w:hAnsi="Arial" w:cs="Arial"/>
          <w:sz w:val="21"/>
          <w:szCs w:val="21"/>
        </w:rPr>
        <w:t>omezit zbytečnou administrativu a celkově zlepšit klientskou zkušenost.</w:t>
      </w:r>
    </w:p>
    <w:p w14:paraId="2104FA06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6B1A35F3" w14:textId="03E91878" w:rsidR="00C86ABF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„</w:t>
      </w:r>
      <w:r w:rsidRPr="00D46238">
        <w:rPr>
          <w:rFonts w:ascii="Arial" w:eastAsia="Aptos" w:hAnsi="Arial" w:cs="Arial"/>
          <w:i/>
          <w:iCs/>
          <w:sz w:val="21"/>
          <w:szCs w:val="21"/>
        </w:rPr>
        <w:t>Standardizovaný proces refinancování nezajištěných úvěrů má za cíl zkvalitnit služby klientům a umožnit jim rychlé a informované rozhodování bez zbytečných administrativních překážek</w:t>
      </w:r>
      <w:r w:rsidRPr="00C00E90">
        <w:rPr>
          <w:rFonts w:ascii="Arial" w:eastAsia="Aptos" w:hAnsi="Arial" w:cs="Arial"/>
          <w:sz w:val="21"/>
          <w:szCs w:val="21"/>
        </w:rPr>
        <w:t xml:space="preserve">," komentuje </w:t>
      </w:r>
      <w:r w:rsidR="007A4B18">
        <w:rPr>
          <w:rFonts w:ascii="Arial" w:eastAsia="Aptos" w:hAnsi="Arial" w:cs="Arial"/>
          <w:sz w:val="21"/>
          <w:szCs w:val="21"/>
        </w:rPr>
        <w:t>Radek Šalša, manažer komunikace ČBA</w:t>
      </w:r>
      <w:r w:rsidRPr="00C00E90">
        <w:rPr>
          <w:rFonts w:ascii="Arial" w:eastAsia="Aptos" w:hAnsi="Arial" w:cs="Arial"/>
          <w:sz w:val="21"/>
          <w:szCs w:val="21"/>
        </w:rPr>
        <w:t xml:space="preserve">. </w:t>
      </w:r>
      <w:r w:rsidR="00732559">
        <w:rPr>
          <w:rFonts w:ascii="Arial" w:eastAsia="Aptos" w:hAnsi="Arial" w:cs="Arial"/>
          <w:sz w:val="21"/>
          <w:szCs w:val="21"/>
        </w:rPr>
        <w:t xml:space="preserve">I když je Home Credit </w:t>
      </w:r>
      <w:r w:rsidRPr="00C00E90">
        <w:rPr>
          <w:rFonts w:ascii="Arial" w:eastAsia="Aptos" w:hAnsi="Arial" w:cs="Arial"/>
          <w:sz w:val="21"/>
          <w:szCs w:val="21"/>
        </w:rPr>
        <w:t xml:space="preserve">nebankovním poskytovatelem, </w:t>
      </w:r>
      <w:r w:rsidR="00732559">
        <w:rPr>
          <w:rFonts w:ascii="Arial" w:eastAsia="Aptos" w:hAnsi="Arial" w:cs="Arial"/>
          <w:sz w:val="21"/>
          <w:szCs w:val="21"/>
        </w:rPr>
        <w:t>k memo</w:t>
      </w:r>
      <w:r w:rsidRPr="00C00E90">
        <w:rPr>
          <w:rFonts w:ascii="Arial" w:eastAsia="Aptos" w:hAnsi="Arial" w:cs="Arial"/>
          <w:sz w:val="21"/>
          <w:szCs w:val="21"/>
        </w:rPr>
        <w:t>randu ČBA</w:t>
      </w:r>
      <w:r w:rsidR="00732559">
        <w:rPr>
          <w:rFonts w:ascii="Arial" w:eastAsia="Aptos" w:hAnsi="Arial" w:cs="Arial"/>
          <w:sz w:val="21"/>
          <w:szCs w:val="21"/>
        </w:rPr>
        <w:t xml:space="preserve"> se</w:t>
      </w:r>
      <w:r w:rsidRPr="00C00E90">
        <w:rPr>
          <w:rFonts w:ascii="Arial" w:eastAsia="Aptos" w:hAnsi="Arial" w:cs="Arial"/>
          <w:sz w:val="21"/>
          <w:szCs w:val="21"/>
        </w:rPr>
        <w:t xml:space="preserve"> připojil</w:t>
      </w:r>
      <w:r w:rsidR="00C86ABF">
        <w:rPr>
          <w:rFonts w:ascii="Arial" w:eastAsia="Aptos" w:hAnsi="Arial" w:cs="Arial"/>
          <w:sz w:val="21"/>
          <w:szCs w:val="21"/>
        </w:rPr>
        <w:t>. D</w:t>
      </w:r>
      <w:r w:rsidRPr="00C00E90">
        <w:rPr>
          <w:rFonts w:ascii="Arial" w:eastAsia="Aptos" w:hAnsi="Arial" w:cs="Arial"/>
          <w:sz w:val="21"/>
          <w:szCs w:val="21"/>
        </w:rPr>
        <w:t>obrovolně se tak zavázal ke stejným standardům transparentnosti a jednoduchosti, jaké platí pro bankovní sektor.</w:t>
      </w:r>
    </w:p>
    <w:p w14:paraId="45461959" w14:textId="77777777" w:rsidR="00C86ABF" w:rsidRPr="00C00E90" w:rsidRDefault="00C86ABF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2DC61E04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>Konsolidace na vzestupu – čísla mluví jasně</w:t>
      </w:r>
    </w:p>
    <w:p w14:paraId="247A4357" w14:textId="00447205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 xml:space="preserve">V roce 2025 Home Credit refinancoval úvěry v celkovém </w:t>
      </w:r>
      <w:r w:rsidRPr="00732559">
        <w:rPr>
          <w:rFonts w:ascii="Arial" w:eastAsia="Aptos" w:hAnsi="Arial" w:cs="Arial"/>
          <w:sz w:val="21"/>
          <w:szCs w:val="21"/>
        </w:rPr>
        <w:t xml:space="preserve">objemu </w:t>
      </w:r>
      <w:r w:rsidR="00411CDA" w:rsidRPr="00732559">
        <w:rPr>
          <w:rFonts w:ascii="Arial" w:eastAsia="Aptos" w:hAnsi="Arial" w:cs="Arial"/>
          <w:sz w:val="21"/>
          <w:szCs w:val="21"/>
        </w:rPr>
        <w:t>3,</w:t>
      </w:r>
      <w:r w:rsidR="00732559" w:rsidRPr="00732559">
        <w:rPr>
          <w:rFonts w:ascii="Arial" w:eastAsia="Aptos" w:hAnsi="Arial" w:cs="Arial"/>
          <w:sz w:val="21"/>
          <w:szCs w:val="21"/>
        </w:rPr>
        <w:t>3</w:t>
      </w:r>
      <w:r w:rsidRPr="00732559">
        <w:rPr>
          <w:rFonts w:ascii="Arial" w:eastAsia="Aptos" w:hAnsi="Arial" w:cs="Arial"/>
          <w:sz w:val="21"/>
          <w:szCs w:val="21"/>
        </w:rPr>
        <w:t xml:space="preserve"> miliard</w:t>
      </w:r>
      <w:r w:rsidR="0094607C" w:rsidRPr="00732559">
        <w:rPr>
          <w:rFonts w:ascii="Arial" w:eastAsia="Aptos" w:hAnsi="Arial" w:cs="Arial"/>
          <w:sz w:val="21"/>
          <w:szCs w:val="21"/>
        </w:rPr>
        <w:t>y</w:t>
      </w:r>
      <w:r w:rsidRPr="00732559">
        <w:rPr>
          <w:rFonts w:ascii="Arial" w:eastAsia="Aptos" w:hAnsi="Arial" w:cs="Arial"/>
          <w:sz w:val="21"/>
          <w:szCs w:val="21"/>
        </w:rPr>
        <w:t xml:space="preserve"> korun, přičemž celkový počet konsolidovaných smluv dosáhl </w:t>
      </w:r>
      <w:r w:rsidR="00BB69C6">
        <w:rPr>
          <w:rFonts w:ascii="Arial" w:eastAsia="Aptos" w:hAnsi="Arial" w:cs="Arial"/>
          <w:sz w:val="21"/>
          <w:szCs w:val="21"/>
        </w:rPr>
        <w:t>počtu</w:t>
      </w:r>
      <w:r w:rsidR="0094607C" w:rsidRPr="00732559">
        <w:rPr>
          <w:rFonts w:ascii="Arial" w:eastAsia="Aptos" w:hAnsi="Arial" w:cs="Arial"/>
          <w:sz w:val="21"/>
          <w:szCs w:val="21"/>
        </w:rPr>
        <w:t xml:space="preserve"> </w:t>
      </w:r>
      <w:r w:rsidR="00411CDA" w:rsidRPr="00732559">
        <w:rPr>
          <w:rFonts w:ascii="Arial" w:eastAsia="Aptos" w:hAnsi="Arial" w:cs="Arial"/>
          <w:sz w:val="21"/>
          <w:szCs w:val="21"/>
        </w:rPr>
        <w:t>8</w:t>
      </w:r>
      <w:r w:rsidR="0094607C" w:rsidRPr="00732559">
        <w:rPr>
          <w:rFonts w:ascii="Arial" w:eastAsia="Aptos" w:hAnsi="Arial" w:cs="Arial"/>
          <w:sz w:val="21"/>
          <w:szCs w:val="21"/>
        </w:rPr>
        <w:t xml:space="preserve"> 200</w:t>
      </w:r>
      <w:r w:rsidRPr="00732559">
        <w:rPr>
          <w:rFonts w:ascii="Arial" w:eastAsia="Aptos" w:hAnsi="Arial" w:cs="Arial"/>
          <w:sz w:val="21"/>
          <w:szCs w:val="21"/>
        </w:rPr>
        <w:t xml:space="preserve">. Průměrná výše konsolidovaného úvěru vzrostla na </w:t>
      </w:r>
      <w:r w:rsidR="00411CDA" w:rsidRPr="00732559">
        <w:rPr>
          <w:rFonts w:ascii="Arial" w:eastAsia="Aptos" w:hAnsi="Arial" w:cs="Arial"/>
          <w:sz w:val="21"/>
          <w:szCs w:val="21"/>
        </w:rPr>
        <w:t>40</w:t>
      </w:r>
      <w:r w:rsidR="0094607C" w:rsidRPr="00732559">
        <w:rPr>
          <w:rFonts w:ascii="Arial" w:eastAsia="Aptos" w:hAnsi="Arial" w:cs="Arial"/>
          <w:sz w:val="21"/>
          <w:szCs w:val="21"/>
        </w:rPr>
        <w:t>5 00</w:t>
      </w:r>
      <w:r w:rsidR="00703B46" w:rsidRPr="00732559">
        <w:rPr>
          <w:rFonts w:ascii="Arial" w:eastAsia="Aptos" w:hAnsi="Arial" w:cs="Arial"/>
          <w:sz w:val="21"/>
          <w:szCs w:val="21"/>
        </w:rPr>
        <w:t>0</w:t>
      </w:r>
      <w:r w:rsidRPr="00C00E90">
        <w:rPr>
          <w:rFonts w:ascii="Arial" w:eastAsia="Aptos" w:hAnsi="Arial" w:cs="Arial"/>
          <w:sz w:val="21"/>
          <w:szCs w:val="21"/>
        </w:rPr>
        <w:t xml:space="preserve"> korun</w:t>
      </w:r>
      <w:r w:rsidR="00BB4F37">
        <w:rPr>
          <w:rFonts w:ascii="Arial" w:eastAsia="Aptos" w:hAnsi="Arial" w:cs="Arial"/>
          <w:sz w:val="21"/>
          <w:szCs w:val="21"/>
        </w:rPr>
        <w:t>.</w:t>
      </w:r>
      <w:r w:rsidRPr="00C00E90">
        <w:rPr>
          <w:rFonts w:ascii="Arial" w:eastAsia="Aptos" w:hAnsi="Arial" w:cs="Arial"/>
          <w:sz w:val="21"/>
          <w:szCs w:val="21"/>
        </w:rPr>
        <w:t xml:space="preserve"> </w:t>
      </w:r>
      <w:r w:rsidR="00BB4F37">
        <w:rPr>
          <w:rFonts w:ascii="Arial" w:eastAsia="Aptos" w:hAnsi="Arial" w:cs="Arial"/>
          <w:sz w:val="21"/>
          <w:szCs w:val="21"/>
        </w:rPr>
        <w:t>P</w:t>
      </w:r>
      <w:r w:rsidRPr="00C00E90">
        <w:rPr>
          <w:rFonts w:ascii="Arial" w:eastAsia="Aptos" w:hAnsi="Arial" w:cs="Arial"/>
          <w:sz w:val="21"/>
          <w:szCs w:val="21"/>
        </w:rPr>
        <w:t>ro srovnání</w:t>
      </w:r>
      <w:r w:rsidR="0094607C">
        <w:rPr>
          <w:rFonts w:ascii="Arial" w:eastAsia="Aptos" w:hAnsi="Arial" w:cs="Arial"/>
          <w:sz w:val="21"/>
          <w:szCs w:val="21"/>
        </w:rPr>
        <w:t xml:space="preserve">, </w:t>
      </w:r>
      <w:r w:rsidRPr="00C00E90">
        <w:rPr>
          <w:rFonts w:ascii="Arial" w:eastAsia="Aptos" w:hAnsi="Arial" w:cs="Arial"/>
          <w:sz w:val="21"/>
          <w:szCs w:val="21"/>
        </w:rPr>
        <w:t xml:space="preserve">v roce 2024 činila přes 360 000 korun. Společnost </w:t>
      </w:r>
      <w:r w:rsidR="00BB4F37">
        <w:rPr>
          <w:rFonts w:ascii="Arial" w:eastAsia="Aptos" w:hAnsi="Arial" w:cs="Arial"/>
          <w:sz w:val="21"/>
          <w:szCs w:val="21"/>
        </w:rPr>
        <w:t>běžně</w:t>
      </w:r>
      <w:r w:rsidR="00BB4F37" w:rsidRPr="00C00E90">
        <w:rPr>
          <w:rFonts w:ascii="Arial" w:eastAsia="Aptos" w:hAnsi="Arial" w:cs="Arial"/>
          <w:sz w:val="21"/>
          <w:szCs w:val="21"/>
        </w:rPr>
        <w:t xml:space="preserve"> </w:t>
      </w:r>
      <w:r w:rsidRPr="00C00E90">
        <w:rPr>
          <w:rFonts w:ascii="Arial" w:eastAsia="Aptos" w:hAnsi="Arial" w:cs="Arial"/>
          <w:sz w:val="21"/>
          <w:szCs w:val="21"/>
        </w:rPr>
        <w:t xml:space="preserve">refinancuje jak bankovní, tak nebankovní </w:t>
      </w:r>
      <w:r w:rsidR="00BB4F37">
        <w:rPr>
          <w:rFonts w:ascii="Arial" w:eastAsia="Aptos" w:hAnsi="Arial" w:cs="Arial"/>
          <w:sz w:val="21"/>
          <w:szCs w:val="21"/>
        </w:rPr>
        <w:t>půjčky.</w:t>
      </w:r>
      <w:r w:rsidRPr="00C00E90">
        <w:rPr>
          <w:rFonts w:ascii="Arial" w:eastAsia="Aptos" w:hAnsi="Arial" w:cs="Arial"/>
          <w:sz w:val="21"/>
          <w:szCs w:val="21"/>
        </w:rPr>
        <w:t xml:space="preserve"> </w:t>
      </w:r>
    </w:p>
    <w:p w14:paraId="017629D1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6F69D25F" w14:textId="6A438997" w:rsidR="00D46238" w:rsidRPr="00732559" w:rsidRDefault="001A6D32" w:rsidP="00D46238">
      <w:pPr>
        <w:spacing w:after="0" w:line="276" w:lineRule="auto"/>
        <w:rPr>
          <w:rFonts w:ascii="Arial" w:eastAsia="Aptos" w:hAnsi="Arial" w:cs="Arial"/>
        </w:rPr>
      </w:pPr>
      <w:r w:rsidRPr="001A6D32">
        <w:rPr>
          <w:rFonts w:ascii="Arial" w:eastAsia="Aptos" w:hAnsi="Arial" w:cs="Arial"/>
          <w:i/>
          <w:iCs/>
        </w:rPr>
        <w:t xml:space="preserve">„Zájem o konsolidaci půjček v Home Creditu rok od roku roste a data za rok 2025 tento trend jednoznačně potvrzují. Vnímáme to jako důkaz, že </w:t>
      </w:r>
      <w:r>
        <w:rPr>
          <w:rFonts w:ascii="Arial" w:eastAsia="Aptos" w:hAnsi="Arial" w:cs="Arial"/>
          <w:i/>
          <w:iCs/>
        </w:rPr>
        <w:t>Č</w:t>
      </w:r>
      <w:r w:rsidRPr="001A6D32">
        <w:rPr>
          <w:rFonts w:ascii="Arial" w:eastAsia="Aptos" w:hAnsi="Arial" w:cs="Arial"/>
          <w:i/>
          <w:iCs/>
        </w:rPr>
        <w:t>eš</w:t>
      </w:r>
      <w:r>
        <w:rPr>
          <w:rFonts w:ascii="Arial" w:eastAsia="Aptos" w:hAnsi="Arial" w:cs="Arial"/>
          <w:i/>
          <w:iCs/>
        </w:rPr>
        <w:t xml:space="preserve">i </w:t>
      </w:r>
      <w:r w:rsidRPr="001A6D32">
        <w:rPr>
          <w:rFonts w:ascii="Arial" w:eastAsia="Aptos" w:hAnsi="Arial" w:cs="Arial"/>
          <w:i/>
          <w:iCs/>
        </w:rPr>
        <w:t>přistupují ke svým financím stále zodpovědněji</w:t>
      </w:r>
      <w:r>
        <w:rPr>
          <w:rFonts w:ascii="Arial" w:eastAsia="Aptos" w:hAnsi="Arial" w:cs="Arial"/>
          <w:i/>
          <w:iCs/>
        </w:rPr>
        <w:t xml:space="preserve">. </w:t>
      </w:r>
      <w:r w:rsidRPr="001A6D32">
        <w:rPr>
          <w:rFonts w:ascii="Arial" w:eastAsia="Aptos" w:hAnsi="Arial" w:cs="Arial"/>
          <w:i/>
          <w:iCs/>
        </w:rPr>
        <w:t>Uvědomují si, že konsolidace není řešením až ve chvíli, kdy nastanou potíže, ale chytrým krokem, jak si své závazky lépe uspořádat, získat nad nimi větší přehled a zjednodušit si správu rodinného rozpočtu. Platit jednu splátku místo několika je pro mnoho lidí nejen pohodlnější, ale často i finančně výhodnější. Konsolidace se tak stává přirozenou součástí zdravého a odpovědného přístupu k osobním financím</w:t>
      </w:r>
      <w:r w:rsidR="001D7683">
        <w:rPr>
          <w:rFonts w:ascii="Arial" w:eastAsia="Aptos" w:hAnsi="Arial" w:cs="Arial"/>
          <w:i/>
          <w:iCs/>
        </w:rPr>
        <w:t>,</w:t>
      </w:r>
      <w:r w:rsidRPr="001A6D32">
        <w:rPr>
          <w:rFonts w:ascii="Arial" w:eastAsia="Aptos" w:hAnsi="Arial" w:cs="Arial"/>
          <w:i/>
          <w:iCs/>
        </w:rPr>
        <w:t>“</w:t>
      </w:r>
      <w:r w:rsidR="00D46238" w:rsidRPr="00C73164">
        <w:rPr>
          <w:rFonts w:ascii="Arial" w:eastAsia="Aptos" w:hAnsi="Arial" w:cs="Arial"/>
          <w:i/>
          <w:iCs/>
        </w:rPr>
        <w:t xml:space="preserve"> </w:t>
      </w:r>
      <w:r w:rsidR="001D7683" w:rsidRPr="00732559">
        <w:rPr>
          <w:rFonts w:ascii="Arial" w:eastAsia="Aptos" w:hAnsi="Arial" w:cs="Arial"/>
        </w:rPr>
        <w:t>říká</w:t>
      </w:r>
      <w:r w:rsidR="00D46238" w:rsidRPr="00732559">
        <w:rPr>
          <w:rFonts w:ascii="Arial" w:eastAsia="Aptos" w:hAnsi="Arial" w:cs="Arial"/>
        </w:rPr>
        <w:t xml:space="preserve"> Roman Kůgel, </w:t>
      </w:r>
      <w:r w:rsidR="00DA0ABF" w:rsidRPr="00732559">
        <w:rPr>
          <w:rFonts w:ascii="Arial" w:eastAsia="Aptos" w:hAnsi="Arial" w:cs="Arial"/>
        </w:rPr>
        <w:t>ředitel divize Produkty</w:t>
      </w:r>
      <w:r w:rsidR="00D46238" w:rsidRPr="00732559">
        <w:rPr>
          <w:rFonts w:ascii="Arial" w:eastAsia="Aptos" w:hAnsi="Arial" w:cs="Arial"/>
        </w:rPr>
        <w:t xml:space="preserve"> společnosti Home Credit. </w:t>
      </w:r>
    </w:p>
    <w:p w14:paraId="78CCC6A7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62EDEE50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>Kdo a proč konsoliduje?</w:t>
      </w:r>
    </w:p>
    <w:p w14:paraId="5CDC5C09" w14:textId="56747035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 xml:space="preserve">Typický klient, který v roce 2025 </w:t>
      </w:r>
      <w:r w:rsidR="00BB4F37">
        <w:rPr>
          <w:rFonts w:ascii="Arial" w:eastAsia="Aptos" w:hAnsi="Arial" w:cs="Arial"/>
          <w:sz w:val="21"/>
          <w:szCs w:val="21"/>
        </w:rPr>
        <w:t>využil</w:t>
      </w:r>
      <w:r w:rsidRPr="00C00E90">
        <w:rPr>
          <w:rFonts w:ascii="Arial" w:eastAsia="Aptos" w:hAnsi="Arial" w:cs="Arial"/>
          <w:sz w:val="21"/>
          <w:szCs w:val="21"/>
        </w:rPr>
        <w:t xml:space="preserve"> konsolidaci, </w:t>
      </w:r>
      <w:r w:rsidR="00BB4F37">
        <w:rPr>
          <w:rFonts w:ascii="Arial" w:eastAsia="Aptos" w:hAnsi="Arial" w:cs="Arial"/>
          <w:sz w:val="21"/>
          <w:szCs w:val="21"/>
        </w:rPr>
        <w:t>měl</w:t>
      </w:r>
      <w:r w:rsidR="00BB4F37" w:rsidRPr="00C00E90">
        <w:rPr>
          <w:rFonts w:ascii="Arial" w:eastAsia="Aptos" w:hAnsi="Arial" w:cs="Arial"/>
          <w:sz w:val="21"/>
          <w:szCs w:val="21"/>
        </w:rPr>
        <w:t xml:space="preserve"> </w:t>
      </w:r>
      <w:r w:rsidRPr="00732559">
        <w:rPr>
          <w:rFonts w:ascii="Arial" w:eastAsia="Aptos" w:hAnsi="Arial" w:cs="Arial"/>
          <w:sz w:val="21"/>
          <w:szCs w:val="21"/>
        </w:rPr>
        <w:t xml:space="preserve">průměrně </w:t>
      </w:r>
      <w:r w:rsidR="007E2DA7" w:rsidRPr="00732559">
        <w:rPr>
          <w:rFonts w:ascii="Arial" w:eastAsia="Aptos" w:hAnsi="Arial" w:cs="Arial"/>
          <w:sz w:val="21"/>
          <w:szCs w:val="21"/>
        </w:rPr>
        <w:t>3</w:t>
      </w:r>
      <w:r w:rsidRPr="00732559">
        <w:rPr>
          <w:rFonts w:ascii="Arial" w:eastAsia="Aptos" w:hAnsi="Arial" w:cs="Arial"/>
          <w:sz w:val="21"/>
          <w:szCs w:val="21"/>
        </w:rPr>
        <w:t xml:space="preserve"> úvěr</w:t>
      </w:r>
      <w:r w:rsidR="007E2DA7" w:rsidRPr="00732559">
        <w:rPr>
          <w:rFonts w:ascii="Arial" w:eastAsia="Aptos" w:hAnsi="Arial" w:cs="Arial"/>
          <w:sz w:val="21"/>
          <w:szCs w:val="21"/>
        </w:rPr>
        <w:t>y</w:t>
      </w:r>
      <w:r w:rsidRPr="00732559">
        <w:rPr>
          <w:rFonts w:ascii="Arial" w:eastAsia="Aptos" w:hAnsi="Arial" w:cs="Arial"/>
          <w:sz w:val="21"/>
          <w:szCs w:val="21"/>
        </w:rPr>
        <w:t xml:space="preserve"> najednou</w:t>
      </w:r>
      <w:r w:rsidRPr="00C00E90">
        <w:rPr>
          <w:rFonts w:ascii="Arial" w:eastAsia="Aptos" w:hAnsi="Arial" w:cs="Arial"/>
          <w:sz w:val="21"/>
          <w:szCs w:val="21"/>
        </w:rPr>
        <w:t xml:space="preserve">. Hlavními </w:t>
      </w:r>
      <w:r w:rsidR="00BB4F37" w:rsidRPr="00BB4F37">
        <w:rPr>
          <w:rFonts w:ascii="Arial" w:eastAsia="Aptos" w:hAnsi="Arial" w:cs="Arial"/>
          <w:sz w:val="21"/>
          <w:szCs w:val="21"/>
        </w:rPr>
        <w:t xml:space="preserve">důvody pro sjednocení závazků </w:t>
      </w:r>
      <w:r w:rsidRPr="00C00E90">
        <w:rPr>
          <w:rFonts w:ascii="Arial" w:eastAsia="Aptos" w:hAnsi="Arial" w:cs="Arial"/>
          <w:sz w:val="21"/>
          <w:szCs w:val="21"/>
        </w:rPr>
        <w:t>zůstávají</w:t>
      </w:r>
      <w:r w:rsidR="0088733C">
        <w:rPr>
          <w:rFonts w:ascii="Arial" w:eastAsia="Aptos" w:hAnsi="Arial" w:cs="Arial"/>
          <w:sz w:val="21"/>
          <w:szCs w:val="21"/>
        </w:rPr>
        <w:t xml:space="preserve"> i nadále</w:t>
      </w:r>
      <w:r w:rsidRPr="00C00E90">
        <w:rPr>
          <w:rFonts w:ascii="Arial" w:eastAsia="Aptos" w:hAnsi="Arial" w:cs="Arial"/>
          <w:sz w:val="21"/>
          <w:szCs w:val="21"/>
        </w:rPr>
        <w:t xml:space="preserve"> snížení měsíční splátky, </w:t>
      </w:r>
      <w:r w:rsidR="0088733C">
        <w:rPr>
          <w:rFonts w:ascii="Arial" w:eastAsia="Aptos" w:hAnsi="Arial" w:cs="Arial"/>
          <w:sz w:val="21"/>
          <w:szCs w:val="21"/>
        </w:rPr>
        <w:t>větší přehled nad financemi</w:t>
      </w:r>
      <w:r w:rsidR="00BB69C6">
        <w:rPr>
          <w:rFonts w:ascii="Arial" w:eastAsia="Aptos" w:hAnsi="Arial" w:cs="Arial"/>
          <w:sz w:val="21"/>
          <w:szCs w:val="21"/>
        </w:rPr>
        <w:t xml:space="preserve">, případně </w:t>
      </w:r>
      <w:r w:rsidR="0088733C" w:rsidRPr="0094607C">
        <w:rPr>
          <w:rFonts w:ascii="Arial" w:eastAsia="Aptos" w:hAnsi="Arial" w:cs="Arial"/>
          <w:sz w:val="21"/>
          <w:szCs w:val="21"/>
        </w:rPr>
        <w:t xml:space="preserve">možnost </w:t>
      </w:r>
      <w:r w:rsidRPr="0094607C">
        <w:rPr>
          <w:rFonts w:ascii="Arial" w:eastAsia="Aptos" w:hAnsi="Arial" w:cs="Arial"/>
          <w:sz w:val="21"/>
          <w:szCs w:val="21"/>
        </w:rPr>
        <w:t>získ</w:t>
      </w:r>
      <w:r w:rsidR="00C948C9" w:rsidRPr="0094607C">
        <w:rPr>
          <w:rFonts w:ascii="Arial" w:eastAsia="Aptos" w:hAnsi="Arial" w:cs="Arial"/>
          <w:sz w:val="21"/>
          <w:szCs w:val="21"/>
        </w:rPr>
        <w:t xml:space="preserve">at </w:t>
      </w:r>
      <w:r w:rsidRPr="0094607C">
        <w:rPr>
          <w:rFonts w:ascii="Arial" w:eastAsia="Aptos" w:hAnsi="Arial" w:cs="Arial"/>
          <w:sz w:val="21"/>
          <w:szCs w:val="21"/>
        </w:rPr>
        <w:t>nižší úrokov</w:t>
      </w:r>
      <w:r w:rsidR="0088733C" w:rsidRPr="0094607C">
        <w:rPr>
          <w:rFonts w:ascii="Arial" w:eastAsia="Aptos" w:hAnsi="Arial" w:cs="Arial"/>
          <w:sz w:val="21"/>
          <w:szCs w:val="21"/>
        </w:rPr>
        <w:t>ou</w:t>
      </w:r>
      <w:r w:rsidRPr="0094607C">
        <w:rPr>
          <w:rFonts w:ascii="Arial" w:eastAsia="Aptos" w:hAnsi="Arial" w:cs="Arial"/>
          <w:sz w:val="21"/>
          <w:szCs w:val="21"/>
        </w:rPr>
        <w:t xml:space="preserve"> sazb</w:t>
      </w:r>
      <w:r w:rsidR="0088733C" w:rsidRPr="0094607C">
        <w:rPr>
          <w:rFonts w:ascii="Arial" w:eastAsia="Aptos" w:hAnsi="Arial" w:cs="Arial"/>
          <w:sz w:val="21"/>
          <w:szCs w:val="21"/>
        </w:rPr>
        <w:t>u</w:t>
      </w:r>
      <w:r w:rsidRPr="0094607C">
        <w:rPr>
          <w:rFonts w:ascii="Arial" w:eastAsia="Aptos" w:hAnsi="Arial" w:cs="Arial"/>
          <w:sz w:val="21"/>
          <w:szCs w:val="21"/>
        </w:rPr>
        <w:t>.</w:t>
      </w:r>
      <w:r w:rsidRPr="00C00E90">
        <w:rPr>
          <w:rFonts w:ascii="Arial" w:eastAsia="Aptos" w:hAnsi="Arial" w:cs="Arial"/>
          <w:sz w:val="21"/>
          <w:szCs w:val="21"/>
        </w:rPr>
        <w:t xml:space="preserve"> Stále </w:t>
      </w:r>
      <w:r w:rsidR="00C948C9" w:rsidRPr="00BB4F37">
        <w:rPr>
          <w:rFonts w:ascii="Arial" w:eastAsia="Aptos" w:hAnsi="Arial" w:cs="Arial"/>
          <w:sz w:val="21"/>
          <w:szCs w:val="21"/>
        </w:rPr>
        <w:t xml:space="preserve">výrazněji se ale prosazuje i další </w:t>
      </w:r>
      <w:r w:rsidR="002C7232" w:rsidRPr="00BB4F37">
        <w:rPr>
          <w:rFonts w:ascii="Arial" w:eastAsia="Aptos" w:hAnsi="Arial" w:cs="Arial"/>
          <w:sz w:val="21"/>
          <w:szCs w:val="21"/>
        </w:rPr>
        <w:t>motivace</w:t>
      </w:r>
      <w:r w:rsidR="0094607C">
        <w:rPr>
          <w:rFonts w:ascii="Arial" w:eastAsia="Aptos" w:hAnsi="Arial" w:cs="Arial"/>
          <w:sz w:val="21"/>
          <w:szCs w:val="21"/>
        </w:rPr>
        <w:t xml:space="preserve">, </w:t>
      </w:r>
      <w:r w:rsidR="00732559">
        <w:rPr>
          <w:rFonts w:ascii="Arial" w:eastAsia="Aptos" w:hAnsi="Arial" w:cs="Arial"/>
          <w:sz w:val="21"/>
          <w:szCs w:val="21"/>
        </w:rPr>
        <w:t xml:space="preserve">a to </w:t>
      </w:r>
      <w:r w:rsidR="002C7232">
        <w:rPr>
          <w:rFonts w:ascii="Arial" w:eastAsia="Aptos" w:hAnsi="Arial" w:cs="Arial"/>
          <w:sz w:val="21"/>
          <w:szCs w:val="21"/>
        </w:rPr>
        <w:t>využití</w:t>
      </w:r>
      <w:r w:rsidRPr="00C00E90">
        <w:rPr>
          <w:rFonts w:ascii="Arial" w:eastAsia="Aptos" w:hAnsi="Arial" w:cs="Arial"/>
          <w:sz w:val="21"/>
          <w:szCs w:val="21"/>
        </w:rPr>
        <w:t xml:space="preserve"> konsolidace jako příležitosti k</w:t>
      </w:r>
      <w:r w:rsidR="002C7232">
        <w:rPr>
          <w:rFonts w:ascii="Arial" w:eastAsia="Aptos" w:hAnsi="Arial" w:cs="Arial"/>
          <w:sz w:val="21"/>
          <w:szCs w:val="21"/>
        </w:rPr>
        <w:t> </w:t>
      </w:r>
      <w:r w:rsidRPr="00C00E90">
        <w:rPr>
          <w:rFonts w:ascii="Arial" w:eastAsia="Aptos" w:hAnsi="Arial" w:cs="Arial"/>
          <w:sz w:val="21"/>
          <w:szCs w:val="21"/>
        </w:rPr>
        <w:t>získání dodatečné hotovosti</w:t>
      </w:r>
      <w:r w:rsidR="00C948C9">
        <w:rPr>
          <w:rFonts w:ascii="Arial" w:eastAsia="Aptos" w:hAnsi="Arial" w:cs="Arial"/>
          <w:sz w:val="21"/>
          <w:szCs w:val="21"/>
        </w:rPr>
        <w:t>. K</w:t>
      </w:r>
      <w:r w:rsidRPr="00C00E90">
        <w:rPr>
          <w:rFonts w:ascii="Arial" w:eastAsia="Aptos" w:hAnsi="Arial" w:cs="Arial"/>
          <w:sz w:val="21"/>
          <w:szCs w:val="21"/>
        </w:rPr>
        <w:t xml:space="preserve">lienti tak v rámci jedné smlouvy optimalizují stávající </w:t>
      </w:r>
      <w:r w:rsidR="00C948C9">
        <w:rPr>
          <w:rFonts w:ascii="Arial" w:eastAsia="Aptos" w:hAnsi="Arial" w:cs="Arial"/>
          <w:sz w:val="21"/>
          <w:szCs w:val="21"/>
        </w:rPr>
        <w:t>úvěry</w:t>
      </w:r>
      <w:r w:rsidR="009645BE">
        <w:rPr>
          <w:rFonts w:ascii="Arial" w:eastAsia="Aptos" w:hAnsi="Arial" w:cs="Arial"/>
          <w:sz w:val="21"/>
          <w:szCs w:val="21"/>
        </w:rPr>
        <w:t xml:space="preserve"> </w:t>
      </w:r>
      <w:r w:rsidR="00732559">
        <w:rPr>
          <w:rFonts w:ascii="Arial" w:eastAsia="Aptos" w:hAnsi="Arial" w:cs="Arial"/>
          <w:sz w:val="21"/>
          <w:szCs w:val="21"/>
        </w:rPr>
        <w:br/>
      </w:r>
      <w:r w:rsidR="009645BE">
        <w:rPr>
          <w:rFonts w:ascii="Arial" w:eastAsia="Aptos" w:hAnsi="Arial" w:cs="Arial"/>
          <w:sz w:val="21"/>
          <w:szCs w:val="21"/>
        </w:rPr>
        <w:t>a</w:t>
      </w:r>
      <w:r w:rsidRPr="00C00E90">
        <w:rPr>
          <w:rFonts w:ascii="Arial" w:eastAsia="Aptos" w:hAnsi="Arial" w:cs="Arial"/>
          <w:sz w:val="21"/>
          <w:szCs w:val="21"/>
        </w:rPr>
        <w:t xml:space="preserve"> zároveň získají prostředky na další plánované výdaje, aniž by museli sjednávat zcela nový úvěr.</w:t>
      </w:r>
    </w:p>
    <w:p w14:paraId="0CC3B178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4A7C0729" w14:textId="5A1EA0B1" w:rsidR="00C73164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Konsolidovat lze prakticky jakýkoliv typ spotřebitelského úvěru</w:t>
      </w:r>
      <w:r w:rsidR="0094607C">
        <w:rPr>
          <w:rFonts w:ascii="Arial" w:eastAsia="Aptos" w:hAnsi="Arial" w:cs="Arial"/>
          <w:sz w:val="21"/>
          <w:szCs w:val="21"/>
        </w:rPr>
        <w:t xml:space="preserve">, </w:t>
      </w:r>
      <w:r w:rsidRPr="00C00E90">
        <w:rPr>
          <w:rFonts w:ascii="Arial" w:eastAsia="Aptos" w:hAnsi="Arial" w:cs="Arial"/>
          <w:sz w:val="21"/>
          <w:szCs w:val="21"/>
        </w:rPr>
        <w:t xml:space="preserve">hotovostní půjčky, úvěry na spotřební zboží včetně </w:t>
      </w:r>
      <w:r w:rsidR="009645BE">
        <w:rPr>
          <w:rFonts w:ascii="Arial" w:eastAsia="Aptos" w:hAnsi="Arial" w:cs="Arial"/>
          <w:sz w:val="21"/>
          <w:szCs w:val="21"/>
        </w:rPr>
        <w:t>financování automobilů</w:t>
      </w:r>
      <w:r w:rsidRPr="00C00E90">
        <w:rPr>
          <w:rFonts w:ascii="Arial" w:eastAsia="Aptos" w:hAnsi="Arial" w:cs="Arial"/>
          <w:sz w:val="21"/>
          <w:szCs w:val="21"/>
        </w:rPr>
        <w:t>, kreditní karty, kontokorentní úvěry i finanční leasingy, a to bez ohledu na to, zda byly sjednány u bankovního</w:t>
      </w:r>
      <w:r w:rsidR="009645BE">
        <w:rPr>
          <w:rFonts w:ascii="Arial" w:eastAsia="Aptos" w:hAnsi="Arial" w:cs="Arial"/>
          <w:sz w:val="21"/>
          <w:szCs w:val="21"/>
        </w:rPr>
        <w:t>,</w:t>
      </w:r>
      <w:r w:rsidRPr="00C00E90">
        <w:rPr>
          <w:rFonts w:ascii="Arial" w:eastAsia="Aptos" w:hAnsi="Arial" w:cs="Arial"/>
          <w:sz w:val="21"/>
          <w:szCs w:val="21"/>
        </w:rPr>
        <w:t xml:space="preserve"> nebo nebankovního poskytovatele.</w:t>
      </w:r>
    </w:p>
    <w:p w14:paraId="24C6D3D9" w14:textId="77777777" w:rsidR="00BB4F37" w:rsidRPr="00C00E90" w:rsidRDefault="00BB4F37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0669F8D4" w14:textId="735DAC6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>Jednoduše, rychle a bez zbytečné byrokracie</w:t>
      </w:r>
    </w:p>
    <w:p w14:paraId="2A7B95F6" w14:textId="3B7D2AE6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 xml:space="preserve">Home Credit umožňuje konsolidovat půjčky v rozmezí od 30 000 Kč do 1 000 000 Kč. </w:t>
      </w:r>
      <w:r w:rsidR="009645BE">
        <w:rPr>
          <w:rFonts w:ascii="Arial" w:eastAsia="Aptos" w:hAnsi="Arial" w:cs="Arial"/>
          <w:sz w:val="21"/>
          <w:szCs w:val="21"/>
        </w:rPr>
        <w:t>Maximální limit</w:t>
      </w:r>
      <w:r w:rsidRPr="00C00E90">
        <w:rPr>
          <w:rFonts w:ascii="Arial" w:eastAsia="Aptos" w:hAnsi="Arial" w:cs="Arial"/>
          <w:sz w:val="21"/>
          <w:szCs w:val="21"/>
        </w:rPr>
        <w:t xml:space="preserve"> milion korun společnost zavedla v roce 2024 v reakci na rostoucí poptávku klientů, kteří chtějí nejen </w:t>
      </w:r>
      <w:r w:rsidR="009645BE">
        <w:rPr>
          <w:rFonts w:ascii="Arial" w:eastAsia="Aptos" w:hAnsi="Arial" w:cs="Arial"/>
          <w:sz w:val="21"/>
          <w:szCs w:val="21"/>
        </w:rPr>
        <w:t>sloučit své závazky</w:t>
      </w:r>
      <w:r w:rsidRPr="00C00E90">
        <w:rPr>
          <w:rFonts w:ascii="Arial" w:eastAsia="Aptos" w:hAnsi="Arial" w:cs="Arial"/>
          <w:sz w:val="21"/>
          <w:szCs w:val="21"/>
        </w:rPr>
        <w:t xml:space="preserve">, ale zároveň získat i vyšší </w:t>
      </w:r>
      <w:r w:rsidR="009645BE">
        <w:rPr>
          <w:rFonts w:ascii="Arial" w:eastAsia="Aptos" w:hAnsi="Arial" w:cs="Arial"/>
          <w:sz w:val="21"/>
          <w:szCs w:val="21"/>
        </w:rPr>
        <w:t>částku</w:t>
      </w:r>
      <w:r w:rsidR="009645BE" w:rsidRPr="00C00E90">
        <w:rPr>
          <w:rFonts w:ascii="Arial" w:eastAsia="Aptos" w:hAnsi="Arial" w:cs="Arial"/>
          <w:sz w:val="21"/>
          <w:szCs w:val="21"/>
        </w:rPr>
        <w:t xml:space="preserve"> </w:t>
      </w:r>
      <w:r w:rsidRPr="00C00E90">
        <w:rPr>
          <w:rFonts w:ascii="Arial" w:eastAsia="Aptos" w:hAnsi="Arial" w:cs="Arial"/>
          <w:sz w:val="21"/>
          <w:szCs w:val="21"/>
        </w:rPr>
        <w:t>dodatečné hotovosti.</w:t>
      </w:r>
    </w:p>
    <w:p w14:paraId="6234DA01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45CF0D30" w14:textId="7B22A725" w:rsidR="009645BE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Celý proces sjednání</w:t>
      </w:r>
      <w:r w:rsidR="009645BE">
        <w:rPr>
          <w:rFonts w:ascii="Arial" w:eastAsia="Aptos" w:hAnsi="Arial" w:cs="Arial"/>
          <w:sz w:val="21"/>
          <w:szCs w:val="21"/>
        </w:rPr>
        <w:t xml:space="preserve"> konsolidace</w:t>
      </w:r>
      <w:r w:rsidRPr="00C00E90">
        <w:rPr>
          <w:rFonts w:ascii="Arial" w:eastAsia="Aptos" w:hAnsi="Arial" w:cs="Arial"/>
          <w:sz w:val="21"/>
          <w:szCs w:val="21"/>
        </w:rPr>
        <w:t xml:space="preserve"> je navržen tak, aby byl co nejjednodušší. Žádost lze vyřídit online, po telefonu nebo osobně na pobočce. </w:t>
      </w:r>
      <w:r w:rsidR="00BA261A">
        <w:rPr>
          <w:rFonts w:ascii="Arial" w:eastAsia="Aptos" w:hAnsi="Arial" w:cs="Arial"/>
          <w:sz w:val="21"/>
          <w:szCs w:val="21"/>
        </w:rPr>
        <w:t xml:space="preserve">I když stále vede </w:t>
      </w:r>
      <w:r w:rsidR="00AB5E62">
        <w:rPr>
          <w:rFonts w:ascii="Arial" w:eastAsia="Aptos" w:hAnsi="Arial" w:cs="Arial"/>
          <w:sz w:val="21"/>
          <w:szCs w:val="21"/>
        </w:rPr>
        <w:t>telefonické sjednání, d</w:t>
      </w:r>
      <w:r w:rsidRPr="00C00E90">
        <w:rPr>
          <w:rFonts w:ascii="Arial" w:eastAsia="Aptos" w:hAnsi="Arial" w:cs="Arial"/>
          <w:sz w:val="21"/>
          <w:szCs w:val="21"/>
        </w:rPr>
        <w:t>igitální cestu volí stále více klientů</w:t>
      </w:r>
      <w:r w:rsidR="006D64FB">
        <w:rPr>
          <w:rFonts w:ascii="Arial" w:eastAsia="Aptos" w:hAnsi="Arial" w:cs="Arial"/>
          <w:sz w:val="21"/>
          <w:szCs w:val="21"/>
        </w:rPr>
        <w:t>. V roce</w:t>
      </w:r>
      <w:r w:rsidRPr="00C00E90">
        <w:rPr>
          <w:rFonts w:ascii="Arial" w:eastAsia="Aptos" w:hAnsi="Arial" w:cs="Arial"/>
          <w:sz w:val="21"/>
          <w:szCs w:val="21"/>
        </w:rPr>
        <w:t xml:space="preserve"> </w:t>
      </w:r>
      <w:r w:rsidR="006D64FB">
        <w:rPr>
          <w:rFonts w:ascii="Arial" w:eastAsia="Aptos" w:hAnsi="Arial" w:cs="Arial"/>
          <w:sz w:val="21"/>
          <w:szCs w:val="21"/>
        </w:rPr>
        <w:t xml:space="preserve">2025 </w:t>
      </w:r>
      <w:r w:rsidRPr="00C00E90">
        <w:rPr>
          <w:rFonts w:ascii="Arial" w:eastAsia="Aptos" w:hAnsi="Arial" w:cs="Arial"/>
          <w:sz w:val="21"/>
          <w:szCs w:val="21"/>
        </w:rPr>
        <w:t xml:space="preserve">zaznamenal Home Credit </w:t>
      </w:r>
      <w:r w:rsidR="006D64FB">
        <w:rPr>
          <w:rFonts w:ascii="Arial" w:eastAsia="Aptos" w:hAnsi="Arial" w:cs="Arial"/>
          <w:sz w:val="21"/>
          <w:szCs w:val="21"/>
        </w:rPr>
        <w:t>právě u online žádostí 87%</w:t>
      </w:r>
      <w:r w:rsidRPr="00C00E90">
        <w:rPr>
          <w:rFonts w:ascii="Arial" w:eastAsia="Aptos" w:hAnsi="Arial" w:cs="Arial"/>
          <w:sz w:val="21"/>
          <w:szCs w:val="21"/>
        </w:rPr>
        <w:t xml:space="preserve"> meziroční nárůst</w:t>
      </w:r>
      <w:r w:rsidR="00FF391A">
        <w:rPr>
          <w:rFonts w:ascii="Arial" w:eastAsia="Aptos" w:hAnsi="Arial" w:cs="Arial"/>
          <w:sz w:val="21"/>
          <w:szCs w:val="21"/>
        </w:rPr>
        <w:t>.</w:t>
      </w:r>
      <w:r w:rsidRPr="00C00E90">
        <w:rPr>
          <w:rFonts w:ascii="Arial" w:eastAsia="Aptos" w:hAnsi="Arial" w:cs="Arial"/>
          <w:sz w:val="21"/>
          <w:szCs w:val="21"/>
        </w:rPr>
        <w:t xml:space="preserve"> </w:t>
      </w:r>
    </w:p>
    <w:p w14:paraId="0F62FA9D" w14:textId="77777777" w:rsidR="009645BE" w:rsidRPr="00C00E90" w:rsidRDefault="009645BE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08F56181" w14:textId="0D687379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Pro klienty, kteří preferují osobní kontakt, Home Credit průběžně rozšiřuje síť poboček. Aktuálně jsou dostupné v</w:t>
      </w:r>
      <w:r w:rsidR="00935D0D">
        <w:rPr>
          <w:rFonts w:ascii="Arial" w:eastAsia="Aptos" w:hAnsi="Arial" w:cs="Arial"/>
          <w:sz w:val="21"/>
          <w:szCs w:val="21"/>
        </w:rPr>
        <w:t> </w:t>
      </w:r>
      <w:r w:rsidRPr="00C00E90">
        <w:rPr>
          <w:rFonts w:ascii="Arial" w:eastAsia="Aptos" w:hAnsi="Arial" w:cs="Arial"/>
          <w:sz w:val="21"/>
          <w:szCs w:val="21"/>
        </w:rPr>
        <w:t>Praze, Ostravě, Olomouci, Opavě, Zlíně, Teplicích, Karviné</w:t>
      </w:r>
      <w:r w:rsidR="001E206A">
        <w:rPr>
          <w:rFonts w:ascii="Arial" w:eastAsia="Aptos" w:hAnsi="Arial" w:cs="Arial"/>
          <w:sz w:val="21"/>
          <w:szCs w:val="21"/>
        </w:rPr>
        <w:t xml:space="preserve">. </w:t>
      </w:r>
      <w:r w:rsidRPr="00C00E90">
        <w:rPr>
          <w:rFonts w:ascii="Arial" w:eastAsia="Aptos" w:hAnsi="Arial" w:cs="Arial"/>
          <w:sz w:val="21"/>
          <w:szCs w:val="21"/>
        </w:rPr>
        <w:t>V roce 2025 přibyl</w:t>
      </w:r>
      <w:r w:rsidR="001D7683">
        <w:rPr>
          <w:rFonts w:ascii="Arial" w:eastAsia="Aptos" w:hAnsi="Arial" w:cs="Arial"/>
          <w:sz w:val="21"/>
          <w:szCs w:val="21"/>
        </w:rPr>
        <w:t>a</w:t>
      </w:r>
      <w:r w:rsidRPr="00C00E90">
        <w:rPr>
          <w:rFonts w:ascii="Arial" w:eastAsia="Aptos" w:hAnsi="Arial" w:cs="Arial"/>
          <w:sz w:val="21"/>
          <w:szCs w:val="21"/>
        </w:rPr>
        <w:t xml:space="preserve"> pobočk</w:t>
      </w:r>
      <w:r w:rsidR="001D7683">
        <w:rPr>
          <w:rFonts w:ascii="Arial" w:eastAsia="Aptos" w:hAnsi="Arial" w:cs="Arial"/>
          <w:sz w:val="21"/>
          <w:szCs w:val="21"/>
        </w:rPr>
        <w:t>a</w:t>
      </w:r>
      <w:r w:rsidRPr="00C00E90">
        <w:rPr>
          <w:rFonts w:ascii="Arial" w:eastAsia="Aptos" w:hAnsi="Arial" w:cs="Arial"/>
          <w:sz w:val="21"/>
          <w:szCs w:val="21"/>
        </w:rPr>
        <w:t xml:space="preserve"> v</w:t>
      </w:r>
      <w:r w:rsidR="001D7683">
        <w:rPr>
          <w:rFonts w:ascii="Arial" w:eastAsia="Aptos" w:hAnsi="Arial" w:cs="Arial"/>
          <w:sz w:val="21"/>
          <w:szCs w:val="21"/>
        </w:rPr>
        <w:t> </w:t>
      </w:r>
      <w:r w:rsidR="007E2DA7" w:rsidRPr="001D7683">
        <w:rPr>
          <w:rFonts w:ascii="Arial" w:eastAsia="Aptos" w:hAnsi="Arial" w:cs="Arial"/>
          <w:sz w:val="21"/>
          <w:szCs w:val="21"/>
        </w:rPr>
        <w:t>Ústí</w:t>
      </w:r>
      <w:r w:rsidR="001D7683">
        <w:rPr>
          <w:rFonts w:ascii="Arial" w:eastAsia="Aptos" w:hAnsi="Arial" w:cs="Arial"/>
          <w:sz w:val="21"/>
          <w:szCs w:val="21"/>
        </w:rPr>
        <w:t xml:space="preserve"> nad Labem.</w:t>
      </w:r>
    </w:p>
    <w:p w14:paraId="48AA55D3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49AB4FD3" w14:textId="32F08B08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„</w:t>
      </w:r>
      <w:r w:rsidRPr="00D46238">
        <w:rPr>
          <w:rFonts w:ascii="Arial" w:eastAsia="Aptos" w:hAnsi="Arial" w:cs="Arial"/>
          <w:i/>
          <w:iCs/>
          <w:sz w:val="21"/>
          <w:szCs w:val="21"/>
        </w:rPr>
        <w:t xml:space="preserve">Těší nás, že digitální cesta ke konsolidaci je pro naše klienty stále přirozenější volbou. Zároveň ale víme, že část klientů ocení osobní přístup </w:t>
      </w:r>
      <w:r w:rsidR="001F7BE9">
        <w:rPr>
          <w:rFonts w:ascii="Arial" w:eastAsia="Aptos" w:hAnsi="Arial" w:cs="Arial"/>
          <w:i/>
          <w:iCs/>
          <w:sz w:val="21"/>
          <w:szCs w:val="21"/>
        </w:rPr>
        <w:t>a možnost poradit se s</w:t>
      </w:r>
      <w:r w:rsidR="001D7683">
        <w:rPr>
          <w:rFonts w:ascii="Arial" w:eastAsia="Aptos" w:hAnsi="Arial" w:cs="Arial"/>
          <w:i/>
          <w:iCs/>
          <w:sz w:val="21"/>
          <w:szCs w:val="21"/>
        </w:rPr>
        <w:t> </w:t>
      </w:r>
      <w:r w:rsidR="001F7BE9">
        <w:rPr>
          <w:rFonts w:ascii="Arial" w:eastAsia="Aptos" w:hAnsi="Arial" w:cs="Arial"/>
          <w:i/>
          <w:iCs/>
          <w:sz w:val="21"/>
          <w:szCs w:val="21"/>
        </w:rPr>
        <w:t>odborníkem</w:t>
      </w:r>
      <w:r w:rsidR="001D7683">
        <w:rPr>
          <w:rFonts w:ascii="Arial" w:eastAsia="Aptos" w:hAnsi="Arial" w:cs="Arial"/>
          <w:i/>
          <w:iCs/>
          <w:sz w:val="21"/>
          <w:szCs w:val="21"/>
        </w:rPr>
        <w:t xml:space="preserve">, </w:t>
      </w:r>
      <w:r w:rsidRPr="00D46238">
        <w:rPr>
          <w:rFonts w:ascii="Arial" w:eastAsia="Aptos" w:hAnsi="Arial" w:cs="Arial"/>
          <w:i/>
          <w:iCs/>
          <w:sz w:val="21"/>
          <w:szCs w:val="21"/>
        </w:rPr>
        <w:t xml:space="preserve">a právě proto rozšiřujeme naši pobočkovou síť. Chceme být dostupní každému, kdo se rozhodne své finance zoptimalizovat, </w:t>
      </w:r>
      <w:r w:rsidR="001F7BE9" w:rsidRPr="00073A5D">
        <w:rPr>
          <w:rFonts w:ascii="Arial" w:eastAsia="Aptos" w:hAnsi="Arial" w:cs="Arial"/>
          <w:i/>
          <w:iCs/>
          <w:sz w:val="21"/>
          <w:szCs w:val="21"/>
        </w:rPr>
        <w:t>bez ohledu na to, jaký způsob komunikace preferuje</w:t>
      </w:r>
      <w:r w:rsidRPr="00C00E90">
        <w:rPr>
          <w:rFonts w:ascii="Arial" w:eastAsia="Aptos" w:hAnsi="Arial" w:cs="Arial"/>
          <w:sz w:val="21"/>
          <w:szCs w:val="21"/>
        </w:rPr>
        <w:t xml:space="preserve">," </w:t>
      </w:r>
      <w:r w:rsidR="001D7683">
        <w:rPr>
          <w:rFonts w:ascii="Arial" w:eastAsia="Aptos" w:hAnsi="Arial" w:cs="Arial"/>
          <w:sz w:val="21"/>
          <w:szCs w:val="21"/>
        </w:rPr>
        <w:t>dodává</w:t>
      </w:r>
      <w:r w:rsidRPr="00C00E90">
        <w:rPr>
          <w:rFonts w:ascii="Arial" w:eastAsia="Aptos" w:hAnsi="Arial" w:cs="Arial"/>
          <w:sz w:val="21"/>
          <w:szCs w:val="21"/>
        </w:rPr>
        <w:t xml:space="preserve"> Roman Kůgel</w:t>
      </w:r>
      <w:r w:rsidR="009645BE">
        <w:rPr>
          <w:rFonts w:ascii="Arial" w:eastAsia="Aptos" w:hAnsi="Arial" w:cs="Arial"/>
          <w:sz w:val="21"/>
          <w:szCs w:val="21"/>
        </w:rPr>
        <w:t>.</w:t>
      </w:r>
    </w:p>
    <w:p w14:paraId="4F69EC01" w14:textId="77777777" w:rsidR="00073A5D" w:rsidRPr="00C00E90" w:rsidRDefault="00073A5D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57F67AE8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>Flexibilita a jistota pro každou situaci</w:t>
      </w:r>
    </w:p>
    <w:p w14:paraId="25D600E8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Home Credit klientům nabízí nadstandardní flexibilitu při splácení. Mimořádnou splátku lze zaslat kdykoliv, předčasné splacení celého úvěru je možné bez jakýchkoliv sankcí a poplatků. Pokud se klient dostane do přechodných finančních potíží, může si splátku snížit na stanovené minimum či odložit – a to i opakovaně.</w:t>
      </w:r>
    </w:p>
    <w:p w14:paraId="1DED89F8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3CD29FB9" w14:textId="3781ABBA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 w:rsidRPr="00C00E90">
        <w:rPr>
          <w:rFonts w:ascii="Arial" w:eastAsia="Aptos" w:hAnsi="Arial" w:cs="Arial"/>
          <w:sz w:val="21"/>
          <w:szCs w:val="21"/>
        </w:rPr>
        <w:t>Pro případ závažnějších životních situací, jako je ztráta zaměstnání, pracovní neschopnost, hospitalizace, invalidita nebo dlouhodobé ošetřování člena rodiny, nabízí Home Credit pojištění schopnosti splácet. To si ke konsolidaci sjedn</w:t>
      </w:r>
      <w:r w:rsidR="001D7683">
        <w:rPr>
          <w:rFonts w:ascii="Arial" w:eastAsia="Aptos" w:hAnsi="Arial" w:cs="Arial"/>
          <w:sz w:val="21"/>
          <w:szCs w:val="21"/>
        </w:rPr>
        <w:t xml:space="preserve">alo, stejně jako v roce 2024, téměř </w:t>
      </w:r>
      <w:r w:rsidR="001D7683" w:rsidRPr="00D57393">
        <w:rPr>
          <w:rFonts w:ascii="Arial" w:eastAsia="Aptos" w:hAnsi="Arial" w:cs="Arial"/>
          <w:sz w:val="21"/>
          <w:szCs w:val="21"/>
        </w:rPr>
        <w:t>60 %</w:t>
      </w:r>
      <w:r w:rsidRPr="00C00E90">
        <w:rPr>
          <w:rFonts w:ascii="Arial" w:eastAsia="Aptos" w:hAnsi="Arial" w:cs="Arial"/>
          <w:sz w:val="21"/>
          <w:szCs w:val="21"/>
        </w:rPr>
        <w:t xml:space="preserve"> klientů</w:t>
      </w:r>
      <w:r w:rsidR="001D7683">
        <w:rPr>
          <w:rFonts w:ascii="Arial" w:eastAsia="Aptos" w:hAnsi="Arial" w:cs="Arial"/>
          <w:sz w:val="21"/>
          <w:szCs w:val="21"/>
        </w:rPr>
        <w:t xml:space="preserve">. </w:t>
      </w:r>
    </w:p>
    <w:p w14:paraId="7746519F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</w:p>
    <w:p w14:paraId="5FB643A9" w14:textId="77777777" w:rsidR="00C73164" w:rsidRPr="00C00E90" w:rsidRDefault="00C73164" w:rsidP="00C73164">
      <w:pPr>
        <w:spacing w:after="0" w:line="276" w:lineRule="auto"/>
        <w:rPr>
          <w:rFonts w:ascii="Arial" w:eastAsia="Aptos" w:hAnsi="Arial" w:cs="Arial"/>
          <w:b/>
          <w:bCs/>
          <w:sz w:val="21"/>
          <w:szCs w:val="21"/>
        </w:rPr>
      </w:pPr>
      <w:r w:rsidRPr="00C00E90">
        <w:rPr>
          <w:rFonts w:ascii="Arial" w:eastAsia="Aptos" w:hAnsi="Arial" w:cs="Arial"/>
          <w:b/>
          <w:bCs/>
          <w:sz w:val="21"/>
          <w:szCs w:val="21"/>
        </w:rPr>
        <w:t>Výhled: trend konsolidací bude dále sílit</w:t>
      </w:r>
    </w:p>
    <w:p w14:paraId="6E4E90D2" w14:textId="0208CF54" w:rsidR="00C73164" w:rsidRPr="001D7683" w:rsidRDefault="001D7683" w:rsidP="00C73164">
      <w:pPr>
        <w:spacing w:after="0" w:line="276" w:lineRule="auto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i/>
          <w:iCs/>
          <w:sz w:val="21"/>
          <w:szCs w:val="21"/>
        </w:rPr>
        <w:t>„</w:t>
      </w:r>
      <w:r w:rsidR="00C73164" w:rsidRPr="001D7683">
        <w:rPr>
          <w:rFonts w:ascii="Arial" w:eastAsia="Aptos" w:hAnsi="Arial" w:cs="Arial"/>
          <w:i/>
          <w:iCs/>
          <w:sz w:val="21"/>
          <w:szCs w:val="21"/>
        </w:rPr>
        <w:t xml:space="preserve">Vývoj </w:t>
      </w:r>
      <w:r w:rsidR="00092BA5" w:rsidRPr="001D7683">
        <w:rPr>
          <w:rFonts w:ascii="Arial" w:eastAsia="Aptos" w:hAnsi="Arial" w:cs="Arial"/>
          <w:i/>
          <w:iCs/>
          <w:sz w:val="21"/>
          <w:szCs w:val="21"/>
        </w:rPr>
        <w:t xml:space="preserve">na </w:t>
      </w:r>
      <w:r w:rsidR="00C73164" w:rsidRPr="001D7683">
        <w:rPr>
          <w:rFonts w:ascii="Arial" w:eastAsia="Aptos" w:hAnsi="Arial" w:cs="Arial"/>
          <w:i/>
          <w:iCs/>
          <w:sz w:val="21"/>
          <w:szCs w:val="21"/>
        </w:rPr>
        <w:t>trhu naznačuje, že zájem o konsolidaci úvěrů bude v nadcházejících letech nadále</w:t>
      </w:r>
      <w:r w:rsidR="00935D0D" w:rsidRPr="001D7683">
        <w:rPr>
          <w:rFonts w:ascii="Arial" w:eastAsia="Aptos" w:hAnsi="Arial" w:cs="Arial"/>
          <w:i/>
          <w:iCs/>
          <w:sz w:val="21"/>
          <w:szCs w:val="21"/>
        </w:rPr>
        <w:t xml:space="preserve"> růst</w:t>
      </w:r>
      <w:r w:rsidR="00C73164" w:rsidRPr="001D7683">
        <w:rPr>
          <w:rFonts w:ascii="Arial" w:eastAsia="Aptos" w:hAnsi="Arial" w:cs="Arial"/>
          <w:i/>
          <w:iCs/>
          <w:sz w:val="21"/>
          <w:szCs w:val="21"/>
        </w:rPr>
        <w:t>. Rostoucí finanční gramotnost Čechů, dostupnost digitálních nástrojů a standardizace procesů v celém odvětví vytvářejí prostředí, ve kterém je optimalizace závazků snazší než kdy dřív. Home Credit se v tomto prostředí chce i nadále profilovat jako spolehlivý a transparentní partner, který klientům pomáhá získat kontrolu nad jejich financemi</w:t>
      </w:r>
      <w:r>
        <w:rPr>
          <w:rFonts w:ascii="Arial" w:eastAsia="Aptos" w:hAnsi="Arial" w:cs="Arial"/>
          <w:i/>
          <w:iCs/>
          <w:sz w:val="21"/>
          <w:szCs w:val="21"/>
        </w:rPr>
        <w:t xml:space="preserve">,“ </w:t>
      </w:r>
      <w:r>
        <w:rPr>
          <w:rFonts w:ascii="Arial" w:eastAsia="Aptos" w:hAnsi="Arial" w:cs="Arial"/>
          <w:sz w:val="21"/>
          <w:szCs w:val="21"/>
        </w:rPr>
        <w:t xml:space="preserve">uzavírá Roman Kůgel. </w:t>
      </w:r>
    </w:p>
    <w:p w14:paraId="1CCB71C9" w14:textId="77777777" w:rsidR="00092BA5" w:rsidRDefault="00092BA5" w:rsidP="00B038A8">
      <w:pPr>
        <w:pStyle w:val="Bezmezer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3F4631BE" w14:textId="77777777" w:rsidR="00435015" w:rsidRPr="00C00E90" w:rsidRDefault="00435015" w:rsidP="00B038A8">
      <w:pPr>
        <w:pStyle w:val="Bezmezer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57A2ED3" w14:textId="77777777" w:rsidR="00435015" w:rsidRPr="00C00E90" w:rsidRDefault="00435015" w:rsidP="00435015">
      <w:pPr>
        <w:rPr>
          <w:rFonts w:ascii="Arial" w:hAnsi="Arial" w:cs="Arial"/>
          <w:sz w:val="20"/>
          <w:szCs w:val="20"/>
        </w:rPr>
      </w:pPr>
      <w:r w:rsidRPr="00C00E90">
        <w:rPr>
          <w:rFonts w:ascii="Arial" w:hAnsi="Arial" w:cs="Arial"/>
          <w:sz w:val="20"/>
          <w:szCs w:val="20"/>
        </w:rPr>
        <w:t>Kateřina Dobešová</w:t>
      </w:r>
      <w:r w:rsidRPr="00C00E90">
        <w:rPr>
          <w:rFonts w:ascii="Arial" w:hAnsi="Arial" w:cs="Arial"/>
          <w:sz w:val="20"/>
          <w:szCs w:val="20"/>
        </w:rPr>
        <w:br/>
        <w:t>Tisková mluvčí Home Credit ČR a SR</w:t>
      </w:r>
      <w:r w:rsidRPr="00C00E90">
        <w:rPr>
          <w:rFonts w:ascii="Arial" w:hAnsi="Arial" w:cs="Arial"/>
          <w:sz w:val="20"/>
          <w:szCs w:val="20"/>
        </w:rPr>
        <w:br/>
        <w:t xml:space="preserve">Tel.: </w:t>
      </w:r>
      <w:hyperlink r:id="rId10" w:history="1">
        <w:r w:rsidRPr="00C00E90">
          <w:rPr>
            <w:rStyle w:val="Hypertextovodkaz"/>
            <w:rFonts w:ascii="Arial" w:hAnsi="Arial" w:cs="Arial"/>
            <w:sz w:val="20"/>
            <w:szCs w:val="20"/>
          </w:rPr>
          <w:t>+ 420 736 473 813</w:t>
        </w:r>
        <w:r w:rsidRPr="00C00E90">
          <w:rPr>
            <w:rStyle w:val="Hypertextovodkaz"/>
            <w:rFonts w:ascii="Arial" w:hAnsi="Arial" w:cs="Arial"/>
            <w:sz w:val="20"/>
            <w:szCs w:val="20"/>
          </w:rPr>
          <w:br/>
        </w:r>
      </w:hyperlink>
      <w:r w:rsidRPr="00C00E90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Pr="00C00E90">
          <w:rPr>
            <w:rStyle w:val="Hypertextovodkaz"/>
            <w:rFonts w:ascii="Arial" w:hAnsi="Arial" w:cs="Arial"/>
            <w:sz w:val="20"/>
            <w:szCs w:val="20"/>
          </w:rPr>
          <w:t>katerina.dobesova@homecredit.cz</w:t>
        </w:r>
      </w:hyperlink>
    </w:p>
    <w:p w14:paraId="7B632532" w14:textId="77777777" w:rsidR="00435015" w:rsidRPr="00C00E90" w:rsidRDefault="00435015" w:rsidP="00435015">
      <w:pPr>
        <w:rPr>
          <w:rFonts w:ascii="Arial" w:hAnsi="Arial" w:cs="Arial"/>
          <w:sz w:val="20"/>
          <w:szCs w:val="20"/>
        </w:rPr>
      </w:pPr>
    </w:p>
    <w:p w14:paraId="634099CC" w14:textId="77777777" w:rsidR="00C73164" w:rsidRPr="00C00E90" w:rsidRDefault="00C73164" w:rsidP="00C731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C00E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Poznámka pro editory:</w:t>
      </w:r>
    </w:p>
    <w:p w14:paraId="4058FFD3" w14:textId="77777777" w:rsidR="00C73164" w:rsidRPr="00C00E90" w:rsidRDefault="00C73164" w:rsidP="00C731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C00E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Home Credit a.s.</w:t>
      </w:r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byl založen v roce 1997 a dnes je dceřinou společností Air Bank a.s. Je nebankovním poskytovatelem spotřebitelského úvěru, který zahrnuje i nákup na splátky, podle zákona č. 257/2016 Sb., který v souvislosti s poskytovanými úvěry vykonává také činnost platební instituce podle zákona č. 370/2017 Sb. a zprostředkování pojištění podle zákona č. 170/2018 Sb., a jako takový podléhá dohledu České národní banky. Home Credit a.s. poskytuje také podnikatelské úvěry a operativní leasing elektronických zařízení. V Česku poskytl Home Credit a.s. v roce 2025 úvěry v celkové výši 21,2 miliardy Kč. Pravidelně se umisťuje v čele nebankovních společností v rámci </w:t>
      </w:r>
      <w:hyperlink r:id="rId12" w:tgtFrame="_blank" w:history="1">
        <w:r w:rsidRPr="00C00E90">
          <w:rPr>
            <w:rFonts w:ascii="Arial" w:eastAsia="Times New Roman" w:hAnsi="Arial" w:cs="Arial"/>
            <w:color w:val="467886"/>
            <w:kern w:val="0"/>
            <w:sz w:val="20"/>
            <w:szCs w:val="20"/>
            <w:u w:val="single"/>
            <w:lang w:eastAsia="cs-CZ"/>
            <w14:ligatures w14:val="none"/>
          </w:rPr>
          <w:t>Indexu odpovědného úvěrování</w:t>
        </w:r>
      </w:hyperlink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organizace Člověk v tísni. Více na </w:t>
      </w:r>
      <w:hyperlink r:id="rId13" w:tgtFrame="_blank" w:history="1">
        <w:r w:rsidRPr="00C00E90">
          <w:rPr>
            <w:rFonts w:ascii="Arial" w:eastAsia="Times New Roman" w:hAnsi="Arial" w:cs="Arial"/>
            <w:color w:val="467886"/>
            <w:kern w:val="0"/>
            <w:sz w:val="20"/>
            <w:szCs w:val="20"/>
            <w:u w:val="single"/>
            <w:lang w:eastAsia="cs-CZ"/>
            <w14:ligatures w14:val="none"/>
          </w:rPr>
          <w:t>www.homecredit.cz</w:t>
        </w:r>
      </w:hyperlink>
    </w:p>
    <w:p w14:paraId="27BAD495" w14:textId="338B8270" w:rsidR="00435015" w:rsidRPr="00C00E90" w:rsidRDefault="00C73164" w:rsidP="00C00E9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eastAsia="cs-CZ"/>
          <w14:ligatures w14:val="none"/>
        </w:rPr>
      </w:pPr>
      <w:r w:rsidRPr="00C00E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Skupina PPF</w:t>
      </w:r>
      <w:r w:rsidRPr="00C00E9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je soukromý mezinárodní investiční a industriální holding s různorodým portfoliem aktiv. Působí ve 25 zemích a investuje v mnoha odvětvích, včetně telekomunikací, médií, finančních služeb, nemovitostí, strojírenství a e-commerce. Skupina vlastní aktiva ve výši 43,5 miliardy eur a celosvětově zaměstnává 45 tisíc lidí (k 30. červnu 2025).</w:t>
      </w:r>
      <w:r w:rsidRPr="00C00E9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sectPr w:rsidR="00435015" w:rsidRPr="00C00E90" w:rsidSect="00A0380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88FB" w14:textId="77777777" w:rsidR="00F73ED8" w:rsidRDefault="00F73ED8" w:rsidP="00DE7D53">
      <w:pPr>
        <w:spacing w:after="0" w:line="240" w:lineRule="auto"/>
      </w:pPr>
      <w:r>
        <w:separator/>
      </w:r>
    </w:p>
  </w:endnote>
  <w:endnote w:type="continuationSeparator" w:id="0">
    <w:p w14:paraId="603D5674" w14:textId="77777777" w:rsidR="00F73ED8" w:rsidRDefault="00F73ED8" w:rsidP="00DE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7657" w14:textId="77777777" w:rsidR="00F73ED8" w:rsidRDefault="00F73ED8" w:rsidP="00DE7D53">
      <w:pPr>
        <w:spacing w:after="0" w:line="240" w:lineRule="auto"/>
      </w:pPr>
      <w:r>
        <w:separator/>
      </w:r>
    </w:p>
  </w:footnote>
  <w:footnote w:type="continuationSeparator" w:id="0">
    <w:p w14:paraId="07A48799" w14:textId="77777777" w:rsidR="00F73ED8" w:rsidRDefault="00F73ED8" w:rsidP="00DE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A6A20"/>
    <w:multiLevelType w:val="multilevel"/>
    <w:tmpl w:val="326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407067">
    <w:abstractNumId w:val="1"/>
  </w:num>
  <w:num w:numId="2" w16cid:durableId="122619825">
    <w:abstractNumId w:val="0"/>
  </w:num>
  <w:num w:numId="3" w16cid:durableId="566305748">
    <w:abstractNumId w:val="2"/>
  </w:num>
  <w:num w:numId="4" w16cid:durableId="647705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217"/>
    <w:rsid w:val="00016DF7"/>
    <w:rsid w:val="00020001"/>
    <w:rsid w:val="00022FB2"/>
    <w:rsid w:val="000258E4"/>
    <w:rsid w:val="000337EF"/>
    <w:rsid w:val="00041243"/>
    <w:rsid w:val="000417D3"/>
    <w:rsid w:val="00044C8F"/>
    <w:rsid w:val="0005132D"/>
    <w:rsid w:val="00054154"/>
    <w:rsid w:val="00066FC7"/>
    <w:rsid w:val="00073A5D"/>
    <w:rsid w:val="00075B39"/>
    <w:rsid w:val="00092372"/>
    <w:rsid w:val="00092BA5"/>
    <w:rsid w:val="000A4663"/>
    <w:rsid w:val="000B7A25"/>
    <w:rsid w:val="000C22A8"/>
    <w:rsid w:val="000C53E3"/>
    <w:rsid w:val="000D2C21"/>
    <w:rsid w:val="000D43C9"/>
    <w:rsid w:val="000F1F4F"/>
    <w:rsid w:val="0010054A"/>
    <w:rsid w:val="00103331"/>
    <w:rsid w:val="001244B4"/>
    <w:rsid w:val="00131B2B"/>
    <w:rsid w:val="00147DC4"/>
    <w:rsid w:val="0015151F"/>
    <w:rsid w:val="001556AB"/>
    <w:rsid w:val="00173438"/>
    <w:rsid w:val="00182DDB"/>
    <w:rsid w:val="001A6D32"/>
    <w:rsid w:val="001B3F2A"/>
    <w:rsid w:val="001C6040"/>
    <w:rsid w:val="001C7A1D"/>
    <w:rsid w:val="001D7683"/>
    <w:rsid w:val="001E206A"/>
    <w:rsid w:val="001E348C"/>
    <w:rsid w:val="001F1948"/>
    <w:rsid w:val="001F7812"/>
    <w:rsid w:val="001F7BE9"/>
    <w:rsid w:val="0020241D"/>
    <w:rsid w:val="0021127D"/>
    <w:rsid w:val="0022129B"/>
    <w:rsid w:val="00225811"/>
    <w:rsid w:val="0023131F"/>
    <w:rsid w:val="002314AD"/>
    <w:rsid w:val="00237B2A"/>
    <w:rsid w:val="002544FA"/>
    <w:rsid w:val="002604DF"/>
    <w:rsid w:val="0026234C"/>
    <w:rsid w:val="002642D3"/>
    <w:rsid w:val="00272F4A"/>
    <w:rsid w:val="00275B3A"/>
    <w:rsid w:val="002844EA"/>
    <w:rsid w:val="002A77E0"/>
    <w:rsid w:val="002B0D44"/>
    <w:rsid w:val="002B319F"/>
    <w:rsid w:val="002C3986"/>
    <w:rsid w:val="002C6E10"/>
    <w:rsid w:val="002C7232"/>
    <w:rsid w:val="002D4B81"/>
    <w:rsid w:val="002E2FAD"/>
    <w:rsid w:val="002E3220"/>
    <w:rsid w:val="002E51E9"/>
    <w:rsid w:val="002E6C4A"/>
    <w:rsid w:val="00307D82"/>
    <w:rsid w:val="003117BA"/>
    <w:rsid w:val="003311FF"/>
    <w:rsid w:val="00334864"/>
    <w:rsid w:val="00351D5A"/>
    <w:rsid w:val="00356DC3"/>
    <w:rsid w:val="00364E9E"/>
    <w:rsid w:val="003742E2"/>
    <w:rsid w:val="00382865"/>
    <w:rsid w:val="0039201C"/>
    <w:rsid w:val="003930FB"/>
    <w:rsid w:val="003973A5"/>
    <w:rsid w:val="003B0754"/>
    <w:rsid w:val="003B094A"/>
    <w:rsid w:val="003C29C2"/>
    <w:rsid w:val="003E01F2"/>
    <w:rsid w:val="00400EF4"/>
    <w:rsid w:val="00403EB6"/>
    <w:rsid w:val="00404151"/>
    <w:rsid w:val="00404DB5"/>
    <w:rsid w:val="00411CDA"/>
    <w:rsid w:val="00414E86"/>
    <w:rsid w:val="00422E59"/>
    <w:rsid w:val="00435015"/>
    <w:rsid w:val="00437CC2"/>
    <w:rsid w:val="00446683"/>
    <w:rsid w:val="0045529B"/>
    <w:rsid w:val="004566A5"/>
    <w:rsid w:val="00471228"/>
    <w:rsid w:val="004849A2"/>
    <w:rsid w:val="004A1E00"/>
    <w:rsid w:val="004A3DC4"/>
    <w:rsid w:val="004B6DDA"/>
    <w:rsid w:val="004D10C8"/>
    <w:rsid w:val="004D28BF"/>
    <w:rsid w:val="004D4756"/>
    <w:rsid w:val="004D6F1A"/>
    <w:rsid w:val="004E18B2"/>
    <w:rsid w:val="004E4A28"/>
    <w:rsid w:val="004E5886"/>
    <w:rsid w:val="004E7E5B"/>
    <w:rsid w:val="004F1206"/>
    <w:rsid w:val="004F1870"/>
    <w:rsid w:val="00500BEF"/>
    <w:rsid w:val="005139B3"/>
    <w:rsid w:val="00516B28"/>
    <w:rsid w:val="0052409C"/>
    <w:rsid w:val="00524D3C"/>
    <w:rsid w:val="0052534B"/>
    <w:rsid w:val="00534B99"/>
    <w:rsid w:val="00543611"/>
    <w:rsid w:val="00543E57"/>
    <w:rsid w:val="0054572C"/>
    <w:rsid w:val="005469CC"/>
    <w:rsid w:val="00556BF8"/>
    <w:rsid w:val="005663A1"/>
    <w:rsid w:val="0057209D"/>
    <w:rsid w:val="005734F3"/>
    <w:rsid w:val="00587158"/>
    <w:rsid w:val="00594705"/>
    <w:rsid w:val="005A7444"/>
    <w:rsid w:val="005B0325"/>
    <w:rsid w:val="005B1CAC"/>
    <w:rsid w:val="005B38A7"/>
    <w:rsid w:val="005B7767"/>
    <w:rsid w:val="005D2446"/>
    <w:rsid w:val="005D6E4F"/>
    <w:rsid w:val="005E5941"/>
    <w:rsid w:val="00603178"/>
    <w:rsid w:val="00616F14"/>
    <w:rsid w:val="00621753"/>
    <w:rsid w:val="0063006A"/>
    <w:rsid w:val="00647933"/>
    <w:rsid w:val="00650202"/>
    <w:rsid w:val="00656556"/>
    <w:rsid w:val="00666EE8"/>
    <w:rsid w:val="00681027"/>
    <w:rsid w:val="0068436B"/>
    <w:rsid w:val="006906B7"/>
    <w:rsid w:val="006A0182"/>
    <w:rsid w:val="006C2E5F"/>
    <w:rsid w:val="006D0801"/>
    <w:rsid w:val="006D1217"/>
    <w:rsid w:val="006D1C6F"/>
    <w:rsid w:val="006D5A60"/>
    <w:rsid w:val="006D64FB"/>
    <w:rsid w:val="006F12D6"/>
    <w:rsid w:val="006F63B1"/>
    <w:rsid w:val="006F65BD"/>
    <w:rsid w:val="00703B46"/>
    <w:rsid w:val="00716EE3"/>
    <w:rsid w:val="00727F45"/>
    <w:rsid w:val="00732559"/>
    <w:rsid w:val="00733CF4"/>
    <w:rsid w:val="00741E9F"/>
    <w:rsid w:val="00745144"/>
    <w:rsid w:val="00757F21"/>
    <w:rsid w:val="00762620"/>
    <w:rsid w:val="00764DB7"/>
    <w:rsid w:val="00774C47"/>
    <w:rsid w:val="00776C4C"/>
    <w:rsid w:val="00784092"/>
    <w:rsid w:val="00785884"/>
    <w:rsid w:val="007903F7"/>
    <w:rsid w:val="007905DB"/>
    <w:rsid w:val="007961F4"/>
    <w:rsid w:val="00796ECA"/>
    <w:rsid w:val="007A45C6"/>
    <w:rsid w:val="007A4B18"/>
    <w:rsid w:val="007A556C"/>
    <w:rsid w:val="007A795E"/>
    <w:rsid w:val="007B10AF"/>
    <w:rsid w:val="007B1A28"/>
    <w:rsid w:val="007B56E0"/>
    <w:rsid w:val="007E2DA7"/>
    <w:rsid w:val="007E5E30"/>
    <w:rsid w:val="007F1C60"/>
    <w:rsid w:val="007F792E"/>
    <w:rsid w:val="0081541E"/>
    <w:rsid w:val="00815E20"/>
    <w:rsid w:val="00816F96"/>
    <w:rsid w:val="00817A9D"/>
    <w:rsid w:val="0083144D"/>
    <w:rsid w:val="00833544"/>
    <w:rsid w:val="00835436"/>
    <w:rsid w:val="0084345C"/>
    <w:rsid w:val="00843E91"/>
    <w:rsid w:val="00857320"/>
    <w:rsid w:val="00867CB2"/>
    <w:rsid w:val="00871837"/>
    <w:rsid w:val="00886B2A"/>
    <w:rsid w:val="0088733C"/>
    <w:rsid w:val="00896DE3"/>
    <w:rsid w:val="008A4A31"/>
    <w:rsid w:val="008A695D"/>
    <w:rsid w:val="008B7C91"/>
    <w:rsid w:val="008D04B2"/>
    <w:rsid w:val="008E1876"/>
    <w:rsid w:val="008F1713"/>
    <w:rsid w:val="008F5727"/>
    <w:rsid w:val="00917F57"/>
    <w:rsid w:val="009273F4"/>
    <w:rsid w:val="00932E40"/>
    <w:rsid w:val="00935D0D"/>
    <w:rsid w:val="0094607C"/>
    <w:rsid w:val="00961946"/>
    <w:rsid w:val="00963B37"/>
    <w:rsid w:val="009645BE"/>
    <w:rsid w:val="00986EC5"/>
    <w:rsid w:val="009906A1"/>
    <w:rsid w:val="00997964"/>
    <w:rsid w:val="009A4648"/>
    <w:rsid w:val="009A472D"/>
    <w:rsid w:val="009A7D51"/>
    <w:rsid w:val="009B0351"/>
    <w:rsid w:val="009B3DF7"/>
    <w:rsid w:val="009B6D65"/>
    <w:rsid w:val="009C0B4B"/>
    <w:rsid w:val="009C630A"/>
    <w:rsid w:val="009D3FFE"/>
    <w:rsid w:val="009D4583"/>
    <w:rsid w:val="009D4F20"/>
    <w:rsid w:val="009E07AE"/>
    <w:rsid w:val="009E2803"/>
    <w:rsid w:val="009F0962"/>
    <w:rsid w:val="009F14A6"/>
    <w:rsid w:val="009F1796"/>
    <w:rsid w:val="009F225D"/>
    <w:rsid w:val="009F54A7"/>
    <w:rsid w:val="00A03809"/>
    <w:rsid w:val="00A124A3"/>
    <w:rsid w:val="00A1318A"/>
    <w:rsid w:val="00A22F9F"/>
    <w:rsid w:val="00A24321"/>
    <w:rsid w:val="00A26ECB"/>
    <w:rsid w:val="00A349BF"/>
    <w:rsid w:val="00A561F3"/>
    <w:rsid w:val="00A77916"/>
    <w:rsid w:val="00A840D2"/>
    <w:rsid w:val="00A90F29"/>
    <w:rsid w:val="00A965D8"/>
    <w:rsid w:val="00AB4050"/>
    <w:rsid w:val="00AB5E62"/>
    <w:rsid w:val="00AC0554"/>
    <w:rsid w:val="00AC441B"/>
    <w:rsid w:val="00AC6A1B"/>
    <w:rsid w:val="00AD1231"/>
    <w:rsid w:val="00AF29C7"/>
    <w:rsid w:val="00B038A8"/>
    <w:rsid w:val="00B13578"/>
    <w:rsid w:val="00B170F3"/>
    <w:rsid w:val="00B25C9D"/>
    <w:rsid w:val="00B26453"/>
    <w:rsid w:val="00B3294C"/>
    <w:rsid w:val="00B41CD6"/>
    <w:rsid w:val="00B53471"/>
    <w:rsid w:val="00B620D9"/>
    <w:rsid w:val="00B633AA"/>
    <w:rsid w:val="00B67638"/>
    <w:rsid w:val="00B750BC"/>
    <w:rsid w:val="00B77112"/>
    <w:rsid w:val="00B82787"/>
    <w:rsid w:val="00B84072"/>
    <w:rsid w:val="00B932EC"/>
    <w:rsid w:val="00B94024"/>
    <w:rsid w:val="00BA261A"/>
    <w:rsid w:val="00BA2788"/>
    <w:rsid w:val="00BB4F37"/>
    <w:rsid w:val="00BB69C6"/>
    <w:rsid w:val="00BC5F7F"/>
    <w:rsid w:val="00BF243D"/>
    <w:rsid w:val="00C00E90"/>
    <w:rsid w:val="00C35815"/>
    <w:rsid w:val="00C46CF3"/>
    <w:rsid w:val="00C73164"/>
    <w:rsid w:val="00C8139E"/>
    <w:rsid w:val="00C85A95"/>
    <w:rsid w:val="00C86ABF"/>
    <w:rsid w:val="00C91EC2"/>
    <w:rsid w:val="00C948C9"/>
    <w:rsid w:val="00C978EA"/>
    <w:rsid w:val="00CA5187"/>
    <w:rsid w:val="00CC4D12"/>
    <w:rsid w:val="00CC56FF"/>
    <w:rsid w:val="00CD0F5D"/>
    <w:rsid w:val="00CD3DFF"/>
    <w:rsid w:val="00CD59AB"/>
    <w:rsid w:val="00CE3174"/>
    <w:rsid w:val="00CF190D"/>
    <w:rsid w:val="00CF1DD1"/>
    <w:rsid w:val="00D0152B"/>
    <w:rsid w:val="00D028C5"/>
    <w:rsid w:val="00D21717"/>
    <w:rsid w:val="00D3119D"/>
    <w:rsid w:val="00D35454"/>
    <w:rsid w:val="00D46238"/>
    <w:rsid w:val="00D57393"/>
    <w:rsid w:val="00D7046F"/>
    <w:rsid w:val="00D722CA"/>
    <w:rsid w:val="00D76CE7"/>
    <w:rsid w:val="00D83371"/>
    <w:rsid w:val="00D8526A"/>
    <w:rsid w:val="00D90477"/>
    <w:rsid w:val="00DA0ABF"/>
    <w:rsid w:val="00DB092E"/>
    <w:rsid w:val="00DB2DFD"/>
    <w:rsid w:val="00DC0193"/>
    <w:rsid w:val="00DD758E"/>
    <w:rsid w:val="00DE3611"/>
    <w:rsid w:val="00DE7D53"/>
    <w:rsid w:val="00DF2C93"/>
    <w:rsid w:val="00DF3139"/>
    <w:rsid w:val="00E11F38"/>
    <w:rsid w:val="00E147EE"/>
    <w:rsid w:val="00E16EE7"/>
    <w:rsid w:val="00E20C5B"/>
    <w:rsid w:val="00E325C4"/>
    <w:rsid w:val="00E546FF"/>
    <w:rsid w:val="00E54867"/>
    <w:rsid w:val="00E56FB9"/>
    <w:rsid w:val="00E5712C"/>
    <w:rsid w:val="00E6587E"/>
    <w:rsid w:val="00E66B06"/>
    <w:rsid w:val="00E71696"/>
    <w:rsid w:val="00E72691"/>
    <w:rsid w:val="00E83EA0"/>
    <w:rsid w:val="00E84866"/>
    <w:rsid w:val="00E86F51"/>
    <w:rsid w:val="00E974A2"/>
    <w:rsid w:val="00EA0A96"/>
    <w:rsid w:val="00EA3A92"/>
    <w:rsid w:val="00EA5F69"/>
    <w:rsid w:val="00EC20D6"/>
    <w:rsid w:val="00EC487E"/>
    <w:rsid w:val="00ED2E24"/>
    <w:rsid w:val="00ED59F9"/>
    <w:rsid w:val="00EE3565"/>
    <w:rsid w:val="00EE65D5"/>
    <w:rsid w:val="00F26057"/>
    <w:rsid w:val="00F40227"/>
    <w:rsid w:val="00F41E34"/>
    <w:rsid w:val="00F50C9D"/>
    <w:rsid w:val="00F5278C"/>
    <w:rsid w:val="00F537A0"/>
    <w:rsid w:val="00F55B8D"/>
    <w:rsid w:val="00F642BA"/>
    <w:rsid w:val="00F73ED8"/>
    <w:rsid w:val="00F76BEE"/>
    <w:rsid w:val="00F81D42"/>
    <w:rsid w:val="00F950F0"/>
    <w:rsid w:val="00F95512"/>
    <w:rsid w:val="00FA4969"/>
    <w:rsid w:val="00FB5810"/>
    <w:rsid w:val="00FC078A"/>
    <w:rsid w:val="00FE0E1A"/>
    <w:rsid w:val="00FE1AAA"/>
    <w:rsid w:val="00FE4C34"/>
    <w:rsid w:val="00FF18C8"/>
    <w:rsid w:val="00FF391A"/>
    <w:rsid w:val="118433A2"/>
    <w:rsid w:val="19CD2F52"/>
    <w:rsid w:val="19EA21F9"/>
    <w:rsid w:val="1A40505E"/>
    <w:rsid w:val="1C44157D"/>
    <w:rsid w:val="2611A5E9"/>
    <w:rsid w:val="26F29DF7"/>
    <w:rsid w:val="28DFCDC6"/>
    <w:rsid w:val="29C02DDB"/>
    <w:rsid w:val="2D6C94B6"/>
    <w:rsid w:val="307B1A98"/>
    <w:rsid w:val="30C6170A"/>
    <w:rsid w:val="32D9799A"/>
    <w:rsid w:val="32FE1FDB"/>
    <w:rsid w:val="36B01913"/>
    <w:rsid w:val="371C579F"/>
    <w:rsid w:val="3D52BF7A"/>
    <w:rsid w:val="40F12C28"/>
    <w:rsid w:val="461E0DF0"/>
    <w:rsid w:val="49787770"/>
    <w:rsid w:val="4C5B0AD4"/>
    <w:rsid w:val="4CE05F99"/>
    <w:rsid w:val="578D0DAD"/>
    <w:rsid w:val="5F0815FA"/>
    <w:rsid w:val="604049B4"/>
    <w:rsid w:val="647DD74F"/>
    <w:rsid w:val="6D3BCC60"/>
    <w:rsid w:val="7566E682"/>
    <w:rsid w:val="79DC1B69"/>
    <w:rsid w:val="7FDC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mecredit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dobesova@homecredit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tel:+42073647381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CC0BCE3C-CCB2-44EC-A4E7-8EBF3863A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6</cp:revision>
  <dcterms:created xsi:type="dcterms:W3CDTF">2026-03-25T15:44:00Z</dcterms:created>
  <dcterms:modified xsi:type="dcterms:W3CDTF">2026-03-26T09:07:00Z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